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0B2A5B"/>
          <w:sz w:val="26"/>
          <w:szCs w:val="26"/>
        </w:rPr>
        <w:t xml:space="preserve">PONTIFICIA UNIVERSIDAD JAVERIANA</w:t>
      </w:r>
    </w:p>
    <w:p>
      <w:pPr>
        <w:spacing w:after="20"/>
        <w:jc w:val="center"/>
      </w:pPr>
      <w:r>
        <w:rPr>
          <w:color w:val="1F4E79"/>
          <w:sz w:val="22"/>
          <w:szCs w:val="22"/>
        </w:rPr>
        <w:t xml:space="preserve">Facultad de Ingeniería · Bogotá, Colombia</w:t>
      </w:r>
    </w:p>
    <w:p>
      <w:pPr>
        <w:pBdr>
          <w:bottom w:val="single" w:color="0B2A5B" w:sz="6" w:space="2"/>
        </w:pBdr>
        <w:spacing w:after="200"/>
        <w:jc w:val="center"/>
      </w:pPr>
      <w:r>
        <w:rPr>
          <w:i/>
          <w:iCs/>
          <w:color w:val="595959"/>
          <w:sz w:val="18"/>
          <w:szCs w:val="18"/>
        </w:rPr>
        <w:t xml:space="preserve">Programa de formación docente presentado al Tecnológico de Monterrey — Escuela de Humanidades y Educación</w:t>
      </w:r>
    </w:p>
    <w:p>
      <w:pPr>
        <w:spacing w:after="40" w:before="120"/>
        <w:jc w:val="center"/>
      </w:pPr>
      <w:r>
        <w:rPr>
          <w:b/>
          <w:bCs/>
          <w:color w:val="0B2A5B"/>
          <w:sz w:val="36"/>
          <w:szCs w:val="36"/>
        </w:rPr>
        <w:t xml:space="preserve">SYLLABUS</w:t>
      </w:r>
    </w:p>
    <w:p>
      <w:pPr>
        <w:spacing w:after="40"/>
        <w:jc w:val="center"/>
      </w:pPr>
      <w:r>
        <w:rPr>
          <w:b/>
          <w:bCs/>
          <w:color w:val="1F4E79"/>
          <w:sz w:val="26"/>
          <w:szCs w:val="26"/>
        </w:rPr>
        <w:t xml:space="preserve">Programar para enseñar: Python e inteligencia artificial generativa para humanidades digitales</w:t>
      </w:r>
    </w:p>
    <w:p>
      <w:pPr>
        <w:spacing w:after="240"/>
        <w:jc w:val="center"/>
      </w:pPr>
      <w:r>
        <w:rPr>
          <w:i/>
          <w:iCs/>
          <w:color w:val="595959"/>
          <w:sz w:val="20"/>
          <w:szCs w:val="20"/>
        </w:rPr>
        <w:t xml:space="preserve">Curso de formación docente para la Unidad de Formación EH1023 — Programación para Humanidades Digitales</w:t>
      </w:r>
    </w:p>
    <w:p>
      <w:pPr>
        <w:pStyle w:val="Heading1"/>
      </w:pPr>
      <w:r>
        <w:t xml:space="preserve">1. Identificación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Institución oferente</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Pontificia Universidad Javeriana — Facultad de Ingeniería</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Institución receptora</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Tecnológico de Monterrey — Escuela de Humanidades y Educación</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Unidad de formación de referencia</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EH1023 — Programación para Humanidades Digitales (curso semestral de 120 horas)</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Modalidad</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En línea, a través de Microsoft Teams</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Duración</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5 días (15 al 19 de junio de 2026)</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Intensidad horaria</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20 horas de docencia directa (4 horas diarias) y 1 hora diaria de acompañamiento</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Horario</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9:00 a 14:00 (hora de México) · 10:00 a 15:00 (hora de Colombia)</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Dirigido a</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Docentes de humanidades y educación (grupo aproximado de 35 participantes)</w:t>
            </w:r>
          </w:p>
        </w:tc>
      </w:tr>
      <w:tr>
        <w:tc>
          <w:tcPr>
            <w:tcW w:type="dxa" w:w="30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Docente responsable</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Francisco Carlos Calderón Bocanegra</w:t>
            </w:r>
          </w:p>
        </w:tc>
      </w:tr>
    </w:tbl>
    <w:p>
      <w:pPr>
        <w:pStyle w:val="Heading1"/>
      </w:pPr>
      <w:r>
        <w:t xml:space="preserve">2. Presentación</w:t>
      </w:r>
    </w:p>
    <w:p>
      <w:pPr>
        <w:spacing w:after="140" w:line="276"/>
        <w:jc w:val="both"/>
      </w:pPr>
      <w:r>
        <w:t xml:space="preserve">El presente curso es una formación docente diseñada por la Facultad de Ingeniería de la Pontificia Universidad Javeriana para preparar a profesores de perfil humanístico en la enseñanza de la Unidad de Formación EH1023 — Programación para Humanidades Digitales del Tecnológico de Monterrey. La formación no busca convertir a los participantes en programadores expertos, sino en facilitadores competentes capaces de comprender la lógica computacional, leer y explicar código básico en Python, e incorporar herramientas de inteligencia artificial generativa de manera crítica y pedagógica en sus aulas.</w:t>
      </w:r>
    </w:p>
    <w:p>
      <w:pPr>
        <w:spacing w:after="140" w:line="276"/>
        <w:jc w:val="both"/>
      </w:pPr>
      <w:r>
        <w:t xml:space="preserve">El curso adopta un enfoque eminentemente práctico, progresivo y orientado a las humanidades digitales. Cada concepto se aborda mediante problemas cercanos al trabajo humanístico —textos, fechas históricas, catálogos, glosarios, autores y colecciones— y se acompaña de la producción de materiales reutilizables para la impartición de EH1023. Reconociendo la diversidad de niveles del grupo, el diseño contempla un punto de partida desde los fundamentos y un acompañamiento diferenciado que permite avanzar a quienes ya cuentan con experiencia previa en programación.</w:t>
      </w:r>
    </w:p>
    <w:p>
      <w:pPr>
        <w:pStyle w:val="Heading1"/>
      </w:pPr>
      <w:r>
        <w:t xml:space="preserve">3. Objetivo general</w:t>
      </w:r>
    </w:p>
    <w:p>
      <w:pPr>
        <w:spacing w:after="140" w:line="276"/>
        <w:jc w:val="both"/>
      </w:pPr>
      <w:r>
        <w:t xml:space="preserve">Al finalizar el curso, el docente estará en capacidad de impartir la Unidad de Formación EH1023 con autonomía, apoyándose en fundamentos de pensamiento computacional, competencia básica en programación con Python y el uso crítico de herramientas de inteligencia artificial generativa como apoyo pedagógico.</w:t>
      </w:r>
    </w:p>
    <w:p>
      <w:pPr>
        <w:pStyle w:val="Heading1"/>
      </w:pPr>
      <w:r>
        <w:t xml:space="preserve">4. Objetivos específicos de aprendizaje</w:t>
      </w:r>
    </w:p>
    <w:p>
      <w:pPr>
        <w:spacing w:after="140" w:line="276"/>
        <w:jc w:val="both"/>
      </w:pPr>
      <w:r>
        <w:t xml:space="preserve">Al concluir la formación, cada participante será capaz de:</w:t>
      </w:r>
    </w:p>
    <w:p>
      <w:pPr>
        <w:pStyle w:val="ListParagraph"/>
        <w:numPr>
          <w:ilvl w:val="0"/>
          <w:numId w:val="2"/>
        </w:numPr>
        <w:spacing w:after="60" w:line="264"/>
        <w:jc w:val="both"/>
      </w:pPr>
      <w:r>
        <w:t xml:space="preserve">Comprender y aplicar los principios del pensamiento computacional —descomposición, reconocimiento de patrones, abstracción y diseño de algoritmos— mediante la escritura de código en Python.</w:t>
      </w:r>
    </w:p>
    <w:p>
      <w:pPr>
        <w:pStyle w:val="ListParagraph"/>
        <w:numPr>
          <w:ilvl w:val="0"/>
          <w:numId w:val="2"/>
        </w:numPr>
        <w:spacing w:after="60" w:line="264"/>
        <w:jc w:val="both"/>
      </w:pPr>
      <w:r>
        <w:t xml:space="preserve">Leer, escribir y explicar programas básicos en Python que incluyan variables, estructuras de control, funciones y estructuras de datos.</w:t>
      </w:r>
    </w:p>
    <w:p>
      <w:pPr>
        <w:pStyle w:val="ListParagraph"/>
        <w:numPr>
          <w:ilvl w:val="0"/>
          <w:numId w:val="2"/>
        </w:numPr>
        <w:spacing w:after="60" w:line="264"/>
        <w:jc w:val="both"/>
      </w:pPr>
      <w:r>
        <w:t xml:space="preserve">Manejar archivos, datos y visualizaciones básicas con Python para fines de análisis en contextos humanísticos.</w:t>
      </w:r>
    </w:p>
    <w:p>
      <w:pPr>
        <w:pStyle w:val="ListParagraph"/>
        <w:numPr>
          <w:ilvl w:val="0"/>
          <w:numId w:val="2"/>
        </w:numPr>
        <w:spacing w:after="60" w:line="264"/>
        <w:jc w:val="both"/>
      </w:pPr>
      <w:r>
        <w:t xml:space="preserve">Utilizar herramientas de inteligencia artificial generativa para producir, depurar, extender y explicar código de manera crítica y efectiva.</w:t>
      </w:r>
    </w:p>
    <w:p>
      <w:pPr>
        <w:pStyle w:val="ListParagraph"/>
        <w:numPr>
          <w:ilvl w:val="0"/>
          <w:numId w:val="2"/>
        </w:numPr>
        <w:spacing w:after="60" w:line="264"/>
        <w:jc w:val="both"/>
      </w:pPr>
      <w:r>
        <w:t xml:space="preserve">Diseñar actividades, criterios de evaluación y políticas de uso de inteligencia artificial para la enseñanza de programación a estudiantes de humanidades.</w:t>
      </w:r>
    </w:p>
    <w:p>
      <w:pPr>
        <w:pStyle w:val="ListParagraph"/>
        <w:numPr>
          <w:ilvl w:val="0"/>
          <w:numId w:val="2"/>
        </w:numPr>
        <w:spacing w:after="60" w:line="264"/>
        <w:jc w:val="both"/>
      </w:pPr>
      <w:r>
        <w:t xml:space="preserve">Producir materiales de clase funcionales y reutilizables alineados con los contenidos de EH1023.</w:t>
      </w:r>
    </w:p>
    <w:p>
      <w:pPr>
        <w:pStyle w:val="Heading1"/>
      </w:pPr>
      <w:r>
        <w:t xml:space="preserve">5. Contenidos temáticos</w:t>
      </w:r>
    </w:p>
    <w:p>
      <w:pPr>
        <w:spacing w:after="140" w:line="276"/>
        <w:jc w:val="both"/>
      </w:pPr>
      <w:r>
        <w:t xml:space="preserve">Los contenidos se organizan en cinco módulos alineados con el temario de EH1023. La distribución por temas es la siguiente:</w:t>
      </w:r>
    </w:p>
    <w:p>
      <w:pPr>
        <w:pStyle w:val="Heading2"/>
      </w:pPr>
      <w:r>
        <w:t xml:space="preserve">Módulo 1. Pensamiento computacional y fundamentos de Python</w:t>
      </w:r>
    </w:p>
    <w:p>
      <w:pPr>
        <w:pStyle w:val="ListParagraph"/>
        <w:numPr>
          <w:ilvl w:val="0"/>
          <w:numId w:val="2"/>
        </w:numPr>
        <w:spacing w:after="60" w:line="264"/>
        <w:jc w:val="both"/>
      </w:pPr>
      <w:r>
        <w:t xml:space="preserve">Pensamiento computacional y algorítmico.</w:t>
      </w:r>
    </w:p>
    <w:p>
      <w:pPr>
        <w:pStyle w:val="ListParagraph"/>
        <w:numPr>
          <w:ilvl w:val="0"/>
          <w:numId w:val="2"/>
        </w:numPr>
        <w:spacing w:after="60" w:line="264"/>
        <w:jc w:val="both"/>
      </w:pPr>
      <w:r>
        <w:t xml:space="preserve">Sintaxis de Python, variables y tipos de datos.</w:t>
      </w:r>
    </w:p>
    <w:p>
      <w:pPr>
        <w:pStyle w:val="ListParagraph"/>
        <w:numPr>
          <w:ilvl w:val="0"/>
          <w:numId w:val="2"/>
        </w:numPr>
        <w:spacing w:after="60" w:line="264"/>
        <w:jc w:val="both"/>
      </w:pPr>
      <w:r>
        <w:t xml:space="preserve">Operaciones básicas y entrada/salida de información.</w:t>
      </w:r>
    </w:p>
    <w:p>
      <w:pPr>
        <w:pStyle w:val="Heading2"/>
      </w:pPr>
      <w:r>
        <w:t xml:space="preserve">Módulo 2. Lógica de programación y estructuras de datos</w:t>
      </w:r>
    </w:p>
    <w:p>
      <w:pPr>
        <w:pStyle w:val="ListParagraph"/>
        <w:numPr>
          <w:ilvl w:val="0"/>
          <w:numId w:val="2"/>
        </w:numPr>
        <w:spacing w:after="60" w:line="264"/>
        <w:jc w:val="both"/>
      </w:pPr>
      <w:r>
        <w:t xml:space="preserve">Estructuras de control: condicionales y bucles.</w:t>
      </w:r>
    </w:p>
    <w:p>
      <w:pPr>
        <w:pStyle w:val="ListParagraph"/>
        <w:numPr>
          <w:ilvl w:val="0"/>
          <w:numId w:val="2"/>
        </w:numPr>
        <w:spacing w:after="60" w:line="264"/>
        <w:jc w:val="both"/>
      </w:pPr>
      <w:r>
        <w:t xml:space="preserve">Definición y uso de funciones.</w:t>
      </w:r>
    </w:p>
    <w:p>
      <w:pPr>
        <w:pStyle w:val="ListParagraph"/>
        <w:numPr>
          <w:ilvl w:val="0"/>
          <w:numId w:val="2"/>
        </w:numPr>
        <w:spacing w:after="60" w:line="264"/>
        <w:jc w:val="both"/>
      </w:pPr>
      <w:r>
        <w:t xml:space="preserve">Estructuras de datos: listas, diccionarios, tuplas y conjuntos.</w:t>
      </w:r>
    </w:p>
    <w:p>
      <w:pPr>
        <w:pStyle w:val="Heading2"/>
      </w:pPr>
      <w:r>
        <w:t xml:space="preserve">Módulo 3. Manejo de archivos, datos y visualización</w:t>
      </w:r>
    </w:p>
    <w:p>
      <w:pPr>
        <w:pStyle w:val="ListParagraph"/>
        <w:numPr>
          <w:ilvl w:val="0"/>
          <w:numId w:val="2"/>
        </w:numPr>
        <w:spacing w:after="60" w:line="264"/>
        <w:jc w:val="both"/>
      </w:pPr>
      <w:r>
        <w:t xml:space="preserve">Trabajo con archivos y manejo de errores.</w:t>
      </w:r>
    </w:p>
    <w:p>
      <w:pPr>
        <w:pStyle w:val="ListParagraph"/>
        <w:numPr>
          <w:ilvl w:val="0"/>
          <w:numId w:val="2"/>
        </w:numPr>
        <w:spacing w:after="60" w:line="264"/>
        <w:jc w:val="both"/>
      </w:pPr>
      <w:r>
        <w:t xml:space="preserve">Importación de módulos y bibliotecas.</w:t>
      </w:r>
    </w:p>
    <w:p>
      <w:pPr>
        <w:pStyle w:val="ListParagraph"/>
        <w:numPr>
          <w:ilvl w:val="0"/>
          <w:numId w:val="2"/>
        </w:numPr>
        <w:spacing w:after="60" w:line="264"/>
        <w:jc w:val="both"/>
      </w:pPr>
      <w:r>
        <w:t xml:space="preserve">Operaciones básicas con datos y técnicas de visualización.</w:t>
      </w:r>
    </w:p>
    <w:p>
      <w:pPr>
        <w:pStyle w:val="Heading2"/>
      </w:pPr>
      <w:r>
        <w:t xml:space="preserve">Módulo 4. Inteligencia artificial generativa para la docencia</w:t>
      </w:r>
    </w:p>
    <w:p>
      <w:pPr>
        <w:pStyle w:val="ListParagraph"/>
        <w:numPr>
          <w:ilvl w:val="0"/>
          <w:numId w:val="2"/>
        </w:numPr>
        <w:spacing w:after="60" w:line="264"/>
        <w:jc w:val="both"/>
      </w:pPr>
      <w:r>
        <w:t xml:space="preserve">Programación asistida por inteligencia artificial generativa.</w:t>
      </w:r>
    </w:p>
    <w:p>
      <w:pPr>
        <w:pStyle w:val="ListParagraph"/>
        <w:numPr>
          <w:ilvl w:val="0"/>
          <w:numId w:val="2"/>
        </w:numPr>
        <w:spacing w:after="60" w:line="264"/>
        <w:jc w:val="both"/>
      </w:pPr>
      <w:r>
        <w:t xml:space="preserve">Lectura y evaluación crítica del código generado.</w:t>
      </w:r>
    </w:p>
    <w:p>
      <w:pPr>
        <w:pStyle w:val="ListParagraph"/>
        <w:numPr>
          <w:ilvl w:val="0"/>
          <w:numId w:val="2"/>
        </w:numPr>
        <w:spacing w:after="60" w:line="264"/>
        <w:jc w:val="both"/>
      </w:pPr>
      <w:r>
        <w:t xml:space="preserve">Diseño de actividades, políticas de uso y criterios de evaluación para el aula.</w:t>
      </w:r>
    </w:p>
    <w:p>
      <w:pPr>
        <w:pStyle w:val="Heading2"/>
      </w:pPr>
      <w:r>
        <w:t xml:space="preserve">Módulo 5. Web, APIs, medios digitales y proyecto integrador</w:t>
      </w:r>
    </w:p>
    <w:p>
      <w:pPr>
        <w:pStyle w:val="ListParagraph"/>
        <w:numPr>
          <w:ilvl w:val="0"/>
          <w:numId w:val="2"/>
        </w:numPr>
        <w:spacing w:after="60" w:line="264"/>
        <w:jc w:val="both"/>
      </w:pPr>
      <w:r>
        <w:t xml:space="preserve">Uso básico de APIs y extracción de información de la web.</w:t>
      </w:r>
    </w:p>
    <w:p>
      <w:pPr>
        <w:pStyle w:val="ListParagraph"/>
        <w:numPr>
          <w:ilvl w:val="0"/>
          <w:numId w:val="2"/>
        </w:numPr>
        <w:spacing w:after="60" w:line="264"/>
        <w:jc w:val="both"/>
      </w:pPr>
      <w:r>
        <w:t xml:space="preserve">Conceptos y manipulación básica de medios digitales: imagen, audio y video.</w:t>
      </w:r>
    </w:p>
    <w:p>
      <w:pPr>
        <w:pStyle w:val="ListParagraph"/>
        <w:numPr>
          <w:ilvl w:val="0"/>
          <w:numId w:val="2"/>
        </w:numPr>
        <w:spacing w:after="60" w:line="264"/>
        <w:jc w:val="both"/>
      </w:pPr>
      <w:r>
        <w:t xml:space="preserve">Innovación, oportunidad y valor; diseño del proyecto integrador para EH1023.</w:t>
      </w:r>
    </w:p>
    <w:p>
      <w:pPr>
        <w:pStyle w:val="Heading1"/>
      </w:pPr>
      <w:r>
        <w:t xml:space="preserve">6. Distribución por jornadas</w:t>
      </w:r>
    </w:p>
    <w:p>
      <w:pPr>
        <w:spacing w:after="140" w:line="276"/>
        <w:jc w:val="both"/>
      </w:pPr>
      <w:r>
        <w:t xml:space="preserve">El curso se desarrolla en cinco jornadas. Cada jornada comprende cuatro horas de docencia directa, organizadas en dos bloques de dos horas, y una hora intermedia de acompañamiento. La distribución temática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0B2A5B" w:val="clear"/>
            <w:tcMar>
              <w:top w:type="dxa" w:w="70"/>
              <w:left w:type="dxa" w:w="120"/>
              <w:bottom w:type="dxa" w:w="70"/>
              <w:right w:type="dxa" w:w="120"/>
            </w:tcMar>
            <w:vAlign w:val="center"/>
          </w:tcPr>
          <w:p>
            <w:pPr>
              <w:jc w:val="center"/>
            </w:pPr>
            <w:r>
              <w:rPr>
                <w:b/>
                <w:bCs/>
                <w:color w:val="FFFFFF"/>
              </w:rPr>
              <w:t xml:space="preserve">Jornada</w:t>
            </w:r>
          </w:p>
        </w:tc>
        <w:tc>
          <w:tcPr>
            <w:tcW w:type="dxa" w:w="7860"/>
            <w:tcBorders>
              <w:top w:val="single" w:color="BFBFBF" w:sz="1"/>
              <w:left w:val="single" w:color="BFBFBF" w:sz="1"/>
              <w:bottom w:val="single" w:color="BFBFBF" w:sz="1"/>
              <w:right w:val="single" w:color="BFBFBF" w:sz="1"/>
            </w:tcBorders>
            <w:shd w:fill="0B2A5B" w:val="clear"/>
            <w:tcMar>
              <w:top w:type="dxa" w:w="70"/>
              <w:left w:type="dxa" w:w="120"/>
              <w:bottom w:type="dxa" w:w="70"/>
              <w:right w:type="dxa" w:w="120"/>
            </w:tcMar>
            <w:vAlign w:val="center"/>
          </w:tcPr>
          <w:p>
            <w:r>
              <w:rPr>
                <w:b/>
                <w:bCs/>
                <w:color w:val="FFFFFF"/>
              </w:rPr>
              <w:t xml:space="preserve">Ejes temáticos</w:t>
            </w:r>
          </w:p>
        </w:tc>
      </w:tr>
      <w:tr>
        <w:trPr>
          <w:tblHeader w:val="false"/>
        </w:trPr>
        <w:tc>
          <w:tcPr>
            <w:tcW w:type="dxa" w:w="15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pPr>
              <w:jc w:val="center"/>
            </w:pPr>
            <w:r>
              <w:rPr>
                <w:b w:val="false"/>
                <w:bCs w:val="false"/>
              </w:rPr>
              <w:t xml:space="preserve">Día 1</w:t>
            </w:r>
          </w:p>
        </w:tc>
        <w:tc>
          <w:tcPr>
            <w:tcW w:type="dxa" w:w="7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Pensamiento computacional y fundamentos de Python: configuración del entorno de trabajo, variables, tipos de datos y operaciones básicas.</w:t>
            </w:r>
          </w:p>
        </w:tc>
      </w:tr>
      <w:tr>
        <w:trPr>
          <w:tblHeader w:val="false"/>
        </w:trPr>
        <w:tc>
          <w:tcPr>
            <w:tcW w:type="dxa" w:w="15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pPr>
              <w:jc w:val="center"/>
            </w:pPr>
            <w:r>
              <w:rPr>
                <w:b w:val="false"/>
                <w:bCs w:val="false"/>
              </w:rPr>
              <w:t xml:space="preserve">Día 2</w:t>
            </w:r>
          </w:p>
        </w:tc>
        <w:tc>
          <w:tcPr>
            <w:tcW w:type="dxa" w:w="7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Lógica de programación: estructuras de control, funciones y estructuras de datos.</w:t>
            </w:r>
          </w:p>
        </w:tc>
      </w:tr>
      <w:tr>
        <w:trPr>
          <w:tblHeader w:val="false"/>
        </w:trPr>
        <w:tc>
          <w:tcPr>
            <w:tcW w:type="dxa" w:w="15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pPr>
              <w:jc w:val="center"/>
            </w:pPr>
            <w:r>
              <w:rPr>
                <w:b w:val="false"/>
                <w:bCs w:val="false"/>
              </w:rPr>
              <w:t xml:space="preserve">Día 3</w:t>
            </w:r>
          </w:p>
        </w:tc>
        <w:tc>
          <w:tcPr>
            <w:tcW w:type="dxa" w:w="7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Manejo de archivos, errores, datos y visualización; introducción a la inteligencia artificial generativa.</w:t>
            </w:r>
          </w:p>
        </w:tc>
      </w:tr>
      <w:tr>
        <w:trPr>
          <w:tblHeader w:val="false"/>
        </w:trPr>
        <w:tc>
          <w:tcPr>
            <w:tcW w:type="dxa" w:w="15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pPr>
              <w:jc w:val="center"/>
            </w:pPr>
            <w:r>
              <w:rPr>
                <w:b w:val="false"/>
                <w:bCs w:val="false"/>
              </w:rPr>
              <w:t xml:space="preserve">Día 4</w:t>
            </w:r>
          </w:p>
        </w:tc>
        <w:tc>
          <w:tcPr>
            <w:tcW w:type="dxa" w:w="7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Inteligencia artificial generativa aplicada a la docencia: programación asistida, evaluación crítica del código y diseño pedagógico.</w:t>
            </w:r>
          </w:p>
        </w:tc>
      </w:tr>
      <w:tr>
        <w:trPr>
          <w:tblHeader w:val="false"/>
        </w:trPr>
        <w:tc>
          <w:tcPr>
            <w:tcW w:type="dxa" w:w="15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pPr>
              <w:jc w:val="center"/>
            </w:pPr>
            <w:r>
              <w:rPr>
                <w:b w:val="false"/>
                <w:bCs w:val="false"/>
              </w:rPr>
              <w:t xml:space="preserve">Día 5</w:t>
            </w:r>
          </w:p>
        </w:tc>
        <w:tc>
          <w:tcPr>
            <w:tcW w:type="dxa" w:w="7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Extracción de información de la web y uso de APIs, medios digitales y desarrollo del proyecto integrador para EH1023.</w:t>
            </w:r>
          </w:p>
        </w:tc>
      </w:tr>
    </w:tbl>
    <w:p>
      <w:pPr>
        <w:pStyle w:val="Heading1"/>
      </w:pPr>
      <w:r>
        <w:t xml:space="preserve">7. Metodología</w:t>
      </w:r>
    </w:p>
    <w:p>
      <w:pPr>
        <w:spacing w:after="140" w:line="276"/>
        <w:jc w:val="both"/>
      </w:pPr>
      <w:r>
        <w:t xml:space="preserve">El curso se rige por un modelo de aprender haciendo: cada concepto se introduce mediante un problema concreto que se resuelve programando. Las estrategias didácticas centrales son la programación en vivo por parte del docente, los talleres prácticos individuales y en parejas, y la reflexión pedagógica posterior a cada actividad, orientada a que los participantes consideren cómo enseñarían los contenidos a sus propios estudiantes.</w:t>
      </w:r>
    </w:p>
    <w:p>
      <w:pPr>
        <w:spacing w:after="140" w:line="276"/>
        <w:jc w:val="both"/>
      </w:pPr>
      <w:r>
        <w:t xml:space="preserve">Los productos elaborados en cada jornada se integran de manera acumulativa en un portafolio que, al término del curso, constituye un conjunto de materiales de apoyo para la impartición de EH1023. La hora intermedia de acompañamiento se emplea para atender dudas, brindar apoyo técnico y ofrecer atención diferenciada según el nivel de cada participante.</w:t>
      </w:r>
    </w:p>
    <w:p>
      <w:pPr>
        <w:pStyle w:val="Heading1"/>
      </w:pPr>
      <w:r>
        <w:t xml:space="preserve">8. Recursos y herramientas</w:t>
      </w:r>
    </w:p>
    <w:p>
      <w:pPr>
        <w:pStyle w:val="Heading2"/>
      </w:pPr>
      <w:r>
        <w:t xml:space="preserve">Entorno de trabajo principal</w:t>
      </w:r>
    </w:p>
    <w:p>
      <w:pPr>
        <w:spacing w:after="140" w:line="276"/>
        <w:jc w:val="both"/>
      </w:pPr>
      <w:r>
        <w:t xml:space="preserve">La herramienta principal del curso es Google Colab, un entorno de ejecución de Python en la nube que no requiere instalación y es accesible desde el navegador web. Su uso facilita un punto de partida común para todos los participantes y reduce las dificultades técnicas iniciales.</w:t>
      </w:r>
    </w:p>
    <w:p>
      <w:pPr>
        <w:pStyle w:val="Heading2"/>
      </w:pPr>
      <w:r>
        <w:t xml:space="preserve">Inteligencia artificial generativa</w:t>
      </w:r>
    </w:p>
    <w:p>
      <w:pPr>
        <w:spacing w:after="140" w:line="276"/>
        <w:jc w:val="both"/>
      </w:pPr>
      <w:r>
        <w:t xml:space="preserve">El curso emplea las herramientas de inteligencia artificial generativa disponibles y autorizadas en el Tecnológico de Monterrey: Gemini, Copilot y TecGPT, la herramienta institucional propia. El trabajo con estas herramientas se aborda desde una perspectiva crítica y pedagógica, enfatizando la verificación del código generado y su uso responsable en el aula.</w:t>
      </w:r>
    </w:p>
    <w:p>
      <w:pPr>
        <w:pStyle w:val="Heading2"/>
      </w:pPr>
      <w:r>
        <w:t xml:space="preserve">Entorno alterno (plan B)</w:t>
      </w:r>
    </w:p>
    <w:p>
      <w:pPr>
        <w:spacing w:after="140" w:line="276"/>
        <w:jc w:val="both"/>
      </w:pPr>
      <w:r>
        <w:t xml:space="preserve">Como alternativa al entorno en la nube, se contempla el uso de Python en un entorno local mediante Visual Studio Code. Este entorno será instalado por los propios asistentes en sus equipos durante el primer día del curso, con el apoyo del monitor, de manera que dispongan también de una solución de trabajo independiente de la conexión a la nube.</w:t>
      </w:r>
    </w:p>
    <w:p>
      <w:pPr>
        <w:pStyle w:val="Heading2"/>
      </w:pPr>
      <w:r>
        <w:t xml:space="preserve">Plataforma de sesiones</w:t>
      </w:r>
    </w:p>
    <w:p>
      <w:pPr>
        <w:spacing w:after="140" w:line="276"/>
        <w:jc w:val="both"/>
      </w:pPr>
      <w:r>
        <w:t xml:space="preserve">Las sesiones se desarrollan a través de Microsoft Teams.</w:t>
      </w:r>
    </w:p>
    <w:p>
      <w:pPr>
        <w:pStyle w:val="Heading1"/>
      </w:pPr>
      <w:r>
        <w:t xml:space="preserve">9. Acompañamiento docente</w:t>
      </w:r>
    </w:p>
    <w:p>
      <w:pPr>
        <w:spacing w:after="140" w:line="276"/>
        <w:jc w:val="both"/>
      </w:pPr>
      <w:r>
        <w:t xml:space="preserve">El curso cuenta con un monitor de apoyo que acompaña al docente responsable durante toda la formación. Sus funciones comprenden la conducción de la hora intermedia de acompañamiento, el apoyo técnico durante las sesiones, la instalación del entorno local de Visual Studio Code en los equipos de los participantes el primer día, y la atención diferenciada según el nivel de experiencia de cada asistente.</w:t>
      </w:r>
    </w:p>
    <w:p>
      <w:pPr>
        <w:pStyle w:val="Heading1"/>
      </w:pPr>
      <w:r>
        <w:t xml:space="preserve">10. Evaluación</w:t>
      </w:r>
    </w:p>
    <w:p>
      <w:pPr>
        <w:spacing w:after="140" w:line="276"/>
        <w:jc w:val="both"/>
      </w:pPr>
      <w:r>
        <w:t xml:space="preserve">La evaluación es de carácter formativo y está orientada a la producción de materiales. Se valoran la participación, la elaboración de los productos de cada jornada y la capacidad de leer y explicar código básico empleando la inteligencia artificial de manera crítica. Los criterios de aprobación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0B2A5B" w:val="clear"/>
            <w:tcMar>
              <w:top w:type="dxa" w:w="70"/>
              <w:left w:type="dxa" w:w="120"/>
              <w:bottom w:type="dxa" w:w="70"/>
              <w:right w:type="dxa" w:w="120"/>
            </w:tcMar>
            <w:vAlign w:val="center"/>
          </w:tcPr>
          <w:p>
            <w:r>
              <w:rPr>
                <w:b/>
                <w:bCs/>
                <w:color w:val="FFFFFF"/>
              </w:rPr>
              <w:t xml:space="preserve">Criterio</w:t>
            </w:r>
          </w:p>
        </w:tc>
        <w:tc>
          <w:tcPr>
            <w:tcW w:type="dxa" w:w="6760"/>
            <w:tcBorders>
              <w:top w:val="single" w:color="BFBFBF" w:sz="1"/>
              <w:left w:val="single" w:color="BFBFBF" w:sz="1"/>
              <w:bottom w:val="single" w:color="BFBFBF" w:sz="1"/>
              <w:right w:val="single" w:color="BFBFBF" w:sz="1"/>
            </w:tcBorders>
            <w:shd w:fill="0B2A5B" w:val="clear"/>
            <w:tcMar>
              <w:top w:type="dxa" w:w="70"/>
              <w:left w:type="dxa" w:w="120"/>
              <w:bottom w:type="dxa" w:w="70"/>
              <w:right w:type="dxa" w:w="120"/>
            </w:tcMar>
            <w:vAlign w:val="center"/>
          </w:tcPr>
          <w:p>
            <w:r>
              <w:rPr>
                <w:b/>
                <w:bCs/>
                <w:color w:val="FFFFFF"/>
              </w:rPr>
              <w:t xml:space="preserve">Descripción</w:t>
            </w:r>
          </w:p>
        </w:tc>
      </w:tr>
      <w:tr>
        <w:trPr>
          <w:tblHeader w:val="false"/>
        </w:trPr>
        <w:tc>
          <w:tcPr>
            <w:tcW w:type="dxa" w:w="26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Participación</w:t>
            </w:r>
          </w:p>
        </w:tc>
        <w:tc>
          <w:tcPr>
            <w:tcW w:type="dxa" w:w="67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Asistencia, trabajo en los talleres y contribución a las discusiones pedagógicas.</w:t>
            </w:r>
          </w:p>
        </w:tc>
      </w:tr>
      <w:tr>
        <w:trPr>
          <w:tblHeader w:val="false"/>
        </w:trPr>
        <w:tc>
          <w:tcPr>
            <w:tcW w:type="dxa" w:w="26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Productos por jornada</w:t>
            </w:r>
          </w:p>
        </w:tc>
        <w:tc>
          <w:tcPr>
            <w:tcW w:type="dxa" w:w="6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val="false"/>
                <w:bCs w:val="false"/>
              </w:rPr>
              <w:t xml:space="preserve">Materiales y programas funcionales elaborados en cada jornada.</w:t>
            </w:r>
          </w:p>
        </w:tc>
      </w:tr>
      <w:tr>
        <w:trPr>
          <w:tblHeader w:val="false"/>
        </w:trPr>
        <w:tc>
          <w:tcPr>
            <w:tcW w:type="dxa" w:w="2600"/>
            <w:tcBorders>
              <w:top w:val="single" w:color="BFBFBF" w:sz="1"/>
              <w:left w:val="single" w:color="BFBFBF" w:sz="1"/>
              <w:bottom w:val="single" w:color="BFBFBF" w:sz="1"/>
              <w:right w:val="single" w:color="BFBFBF" w:sz="1"/>
            </w:tcBorders>
            <w:shd w:fill="DCE6F1" w:val="clear"/>
            <w:tcMar>
              <w:top w:type="dxa" w:w="70"/>
              <w:left w:type="dxa" w:w="120"/>
              <w:bottom w:type="dxa" w:w="70"/>
              <w:right w:type="dxa" w:w="120"/>
            </w:tcMar>
            <w:vAlign w:val="center"/>
          </w:tcPr>
          <w:p>
            <w:r>
              <w:rPr>
                <w:b w:val="false"/>
                <w:bCs w:val="false"/>
              </w:rPr>
              <w:t xml:space="preserve">Portafolio final</w:t>
            </w:r>
          </w:p>
        </w:tc>
        <w:tc>
          <w:tcPr>
            <w:tcW w:type="dxa" w:w="67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b w:val="false"/>
                <w:bCs w:val="false"/>
              </w:rPr>
              <w:t xml:space="preserve">Integración de los productos en un portafolio de materiales reutilizables para EH1023.</w:t>
            </w:r>
          </w:p>
        </w:tc>
      </w:tr>
    </w:tbl>
    <w:p>
      <w:pPr>
        <w:pStyle w:val="Heading1"/>
      </w:pPr>
      <w:r>
        <w:t xml:space="preserve">11. Productos esperados</w:t>
      </w:r>
    </w:p>
    <w:p>
      <w:pPr>
        <w:spacing w:after="140" w:line="276"/>
        <w:jc w:val="both"/>
      </w:pPr>
      <w:r>
        <w:t xml:space="preserve">Al concluir el curso, cada participante contará con un portafolio de materiales reutilizables para la impartición de EH1023, que incluye programas básicos con enfoque humanístico, un ejercicio de análisis y visualización de datos, una actividad de clase con su correspondiente criterio de evaluación, un ejercicio de uso de APIs o extracción web, y el diseño de un proyecto integrador junto con una propuesta de distribución de los contenidos de la unidad de formación.</w:t>
      </w:r>
    </w:p>
    <w:p>
      <w:pPr>
        <w:pStyle w:val="Heading1"/>
      </w:pPr>
      <w:r>
        <w:t xml:space="preserve">12. Perfil del docente responsable</w:t>
      </w:r>
    </w:p>
    <w:p>
      <w:pPr>
        <w:spacing w:after="140" w:line="276"/>
        <w:jc w:val="both"/>
      </w:pPr>
      <w:r>
        <w:t xml:space="preserve">Francisco Carlos Calderón Bocanegra es profesor asistente del Departamento de Electrónica de la Pontificia Universidad Javeriana, Bogotá. Es ingeniero electrónico, magíster en sistemas embebidos para inteligencia artificial y doctor en visión por computador aplicada a robótica. Su trabajo académico se ha enfocado en inteligencia artificial, procesamiento de imágenes, visión por computador, sistemas embebidos y aplicaciones de tecnología en educación, agricultura y análisis de datos. Ha participado en el diseño e implementación de cursos y proyectos formativos relacionados con programación, inteligencia artificial, procesamiento digital de señales e imágenes y herramientas computacionales para estudiantes, docentes y administrativos.</w:t>
      </w:r>
    </w:p>
    <w:p>
      <w:pPr>
        <w:pStyle w:val="Heading1"/>
      </w:pPr>
      <w:r>
        <w:t xml:space="preserve">13. Bibliografía de referencia</w:t>
      </w:r>
    </w:p>
    <w:p>
      <w:pPr>
        <w:pStyle w:val="ListParagraph"/>
        <w:numPr>
          <w:ilvl w:val="0"/>
          <w:numId w:val="2"/>
        </w:numPr>
        <w:spacing w:after="60" w:line="264"/>
        <w:jc w:val="both"/>
      </w:pPr>
      <w:r>
        <w:t xml:space="preserve">Anderson, J. y Anderson, J. (2024). Python Programming in Context (4.ª ed.). Jones &amp; Bartlett Publishers.</w:t>
      </w:r>
    </w:p>
    <w:p>
      <w:pPr>
        <w:pStyle w:val="ListParagraph"/>
        <w:numPr>
          <w:ilvl w:val="0"/>
          <w:numId w:val="2"/>
        </w:numPr>
        <w:spacing w:after="60" w:line="264"/>
        <w:jc w:val="both"/>
      </w:pPr>
      <w:r>
        <w:t xml:space="preserve">Downey, A. B. (2024). Think Python: How to Think Like a Computer Scientist (3.ª ed.). O’Reilly Media.</w:t>
      </w:r>
    </w:p>
    <w:p>
      <w:pPr>
        <w:pStyle w:val="ListParagraph"/>
        <w:numPr>
          <w:ilvl w:val="0"/>
          <w:numId w:val="2"/>
        </w:numPr>
        <w:spacing w:after="60" w:line="264"/>
        <w:jc w:val="both"/>
      </w:pPr>
      <w:r>
        <w:t xml:space="preserve">Manovich, L. (2013). Software Takes Command: Extending the Language of New Media. Bloomsbury Publishing.</w:t>
      </w:r>
    </w:p>
    <w:p>
      <w:pPr>
        <w:pBdr>
          <w:top w:val="single" w:color="BFBFBF" w:sz="4" w:space="2"/>
        </w:pBdr>
        <w:spacing w:after="40" w:before="360"/>
      </w:pPr>
      <w:r>
        <w:rPr>
          <w:b/>
          <w:bCs/>
          <w:color w:val="0B2A5B"/>
          <w:sz w:val="20"/>
          <w:szCs w:val="20"/>
        </w:rPr>
        <w:t xml:space="preserve">Pontificia Universidad Javeriana — Facultad de Ingeniería</w:t>
      </w:r>
    </w:p>
    <w:p>
      <w:pPr>
        <w:spacing w:after="0"/>
      </w:pPr>
      <w:r>
        <w:rPr>
          <w:i/>
          <w:iCs/>
          <w:color w:val="595959"/>
          <w:sz w:val="18"/>
          <w:szCs w:val="18"/>
        </w:rPr>
        <w:t xml:space="preserve">Bogotá, D.C., Colombia · Junio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B2A5B"/>
      <w:sz w:val="26"/>
      <w:szCs w:val="26"/>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2026-06-10T23:04:39.722Z</dcterms:created>
  <dcterms:modified xsi:type="dcterms:W3CDTF">2026-06-10T23:04:39.722Z</dcterms:modified>
</cp:coreProperties>
</file>

<file path=docProps/custom.xml><?xml version="1.0" encoding="utf-8"?>
<Properties xmlns="http://schemas.openxmlformats.org/officeDocument/2006/custom-properties" xmlns:vt="http://schemas.openxmlformats.org/officeDocument/2006/docPropsVTypes"/>
</file>