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BD2B" w14:textId="5FEE71C0" w:rsidR="00CE5F96" w:rsidRDefault="00F84F7A" w:rsidP="00F84F7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Propuesta Acueducto</w:t>
      </w:r>
    </w:p>
    <w:p w14:paraId="5A4D4C5C" w14:textId="280B7776" w:rsidR="00F84F7A" w:rsidRDefault="00F84F7A" w:rsidP="00F84F7A">
      <w:pPr>
        <w:ind w:firstLine="708"/>
        <w:rPr>
          <w:lang w:val="es-ES"/>
        </w:rPr>
      </w:pPr>
      <w:r>
        <w:rPr>
          <w:lang w:val="es-ES"/>
        </w:rPr>
        <w:t>Santiago Espinal Arango</w:t>
      </w:r>
      <w:r>
        <w:rPr>
          <w:lang w:val="es-ES"/>
        </w:rPr>
        <w:tab/>
        <w:t>David Bedoya Llano</w:t>
      </w:r>
      <w:r>
        <w:rPr>
          <w:lang w:val="es-ES"/>
        </w:rPr>
        <w:tab/>
      </w:r>
      <w:r>
        <w:rPr>
          <w:lang w:val="es-ES"/>
        </w:rPr>
        <w:tab/>
        <w:t xml:space="preserve">Juan David Chaverra  </w:t>
      </w:r>
    </w:p>
    <w:p w14:paraId="598EBFFF" w14:textId="148207C3" w:rsidR="00F84F7A" w:rsidRDefault="00F84F7A" w:rsidP="00F84F7A">
      <w:pPr>
        <w:ind w:firstLine="708"/>
        <w:rPr>
          <w:lang w:val="es-ES"/>
        </w:rPr>
      </w:pPr>
      <w:r>
        <w:rPr>
          <w:lang w:val="es-ES"/>
        </w:rPr>
        <w:t>303354543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84F7A">
        <w:rPr>
          <w:lang w:val="es-ES"/>
        </w:rPr>
        <w:t>3193400079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3217125246</w:t>
      </w:r>
    </w:p>
    <w:p w14:paraId="15B68D6F" w14:textId="4E2AB5C1" w:rsidR="00F84F7A" w:rsidRDefault="00F84F7A" w:rsidP="00F84F7A">
      <w:pPr>
        <w:rPr>
          <w:lang w:val="es-ES"/>
        </w:rPr>
      </w:pPr>
      <w:r>
        <w:rPr>
          <w:lang w:val="es-ES"/>
        </w:rPr>
        <w:tab/>
      </w:r>
    </w:p>
    <w:p w14:paraId="55469B7D" w14:textId="5F46F314" w:rsidR="00F84F7A" w:rsidRPr="00F84F7A" w:rsidRDefault="00F84F7A" w:rsidP="00F84F7A">
      <w:pPr>
        <w:rPr>
          <w:b/>
          <w:bCs/>
          <w:lang w:val="es-ES"/>
        </w:rPr>
      </w:pPr>
      <w:r w:rsidRPr="00F84F7A">
        <w:rPr>
          <w:b/>
          <w:bCs/>
          <w:lang w:val="es-ES"/>
        </w:rPr>
        <w:t>Acuerdo multivederal Caldas 2017</w:t>
      </w:r>
    </w:p>
    <w:p w14:paraId="3FE8366F" w14:textId="5C0D3684" w:rsidR="00F84F7A" w:rsidRDefault="00F84F7A" w:rsidP="00F84F7A">
      <w:pPr>
        <w:rPr>
          <w:lang w:val="es-ES"/>
        </w:rPr>
      </w:pPr>
      <w:hyperlink r:id="rId5" w:history="1">
        <w:r w:rsidRPr="00591683">
          <w:rPr>
            <w:rStyle w:val="Hipervnculo"/>
            <w:lang w:val="es-ES"/>
          </w:rPr>
          <w:t>https://www.multiveredalcaldasantioquia.com/</w:t>
        </w:r>
      </w:hyperlink>
    </w:p>
    <w:p w14:paraId="5398AAF4" w14:textId="40FA6F7A" w:rsidR="00F84F7A" w:rsidRPr="00F84F7A" w:rsidRDefault="00F84F7A" w:rsidP="00F84F7A">
      <w:pPr>
        <w:rPr>
          <w:lang w:val="es-ES"/>
        </w:rPr>
      </w:pPr>
      <w:r w:rsidRPr="00F84F7A">
        <w:rPr>
          <w:lang w:val="es-ES"/>
        </w:rPr>
        <w:t xml:space="preserve">Cra 50 # 129 sur 37 Int.202, </w:t>
      </w:r>
    </w:p>
    <w:p w14:paraId="04027042" w14:textId="28F7AED2" w:rsidR="00F84F7A" w:rsidRPr="00F84F7A" w:rsidRDefault="00F84F7A" w:rsidP="00F84F7A">
      <w:pPr>
        <w:rPr>
          <w:lang w:val="es-ES"/>
        </w:rPr>
      </w:pPr>
      <w:r w:rsidRPr="00F84F7A">
        <w:rPr>
          <w:lang w:val="es-ES"/>
        </w:rPr>
        <w:t>Parque Principal, Caldas - Antioquia</w:t>
      </w:r>
    </w:p>
    <w:p w14:paraId="51650725" w14:textId="652A75D7" w:rsidR="00F84F7A" w:rsidRPr="00F84F7A" w:rsidRDefault="00F84F7A" w:rsidP="00F84F7A">
      <w:pPr>
        <w:rPr>
          <w:lang w:val="es-ES"/>
        </w:rPr>
      </w:pPr>
      <w:r w:rsidRPr="00F84F7A">
        <w:rPr>
          <w:lang w:val="es-ES"/>
        </w:rPr>
        <w:t>Correo:  multiveredalcaldas2007@hotmail.com</w:t>
      </w:r>
    </w:p>
    <w:p w14:paraId="73396431" w14:textId="1C7B21C0" w:rsidR="00F84F7A" w:rsidRDefault="00DF3FFB" w:rsidP="00F84F7A">
      <w:pPr>
        <w:rPr>
          <w:lang w:val="es-ES"/>
        </w:rPr>
      </w:pPr>
      <w:r w:rsidRPr="00F84F7A">
        <w:rPr>
          <w:lang w:val="es-ES"/>
        </w:rPr>
        <w:t>Teléfono</w:t>
      </w:r>
      <w:r w:rsidR="00F84F7A" w:rsidRPr="00F84F7A">
        <w:rPr>
          <w:lang w:val="es-ES"/>
        </w:rPr>
        <w:t xml:space="preserve"> Fijo: 306-46-52</w:t>
      </w:r>
    </w:p>
    <w:p w14:paraId="6A7A1BEA" w14:textId="578B9989" w:rsidR="00F84F7A" w:rsidRDefault="00F84F7A" w:rsidP="00F84F7A">
      <w:pPr>
        <w:rPr>
          <w:lang w:val="es-ES"/>
        </w:rPr>
      </w:pPr>
    </w:p>
    <w:p w14:paraId="218DF03E" w14:textId="152F9BBC" w:rsidR="00F84F7A" w:rsidRDefault="00F84F7A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t>Descripción</w:t>
      </w:r>
    </w:p>
    <w:p w14:paraId="5E763C1C" w14:textId="53638F32" w:rsidR="003457AD" w:rsidRPr="00562B39" w:rsidRDefault="003457AD" w:rsidP="00F84F7A">
      <w:pPr>
        <w:rPr>
          <w:lang w:val="es-ES"/>
        </w:rPr>
      </w:pPr>
      <w:r>
        <w:rPr>
          <w:lang w:val="es-ES"/>
        </w:rPr>
        <w:t>Durante el presente documento se menciona en ocasiones la “compañía”, esta hace referencia a la empresa “</w:t>
      </w:r>
      <w:r>
        <w:rPr>
          <w:b/>
          <w:bCs/>
          <w:lang w:val="es-ES"/>
        </w:rPr>
        <w:t>Acueducto</w:t>
      </w:r>
      <w:r w:rsidRPr="00F84F7A">
        <w:rPr>
          <w:b/>
          <w:bCs/>
          <w:lang w:val="es-ES"/>
        </w:rPr>
        <w:t xml:space="preserve"> multivederal Caldas</w:t>
      </w:r>
      <w:r>
        <w:rPr>
          <w:b/>
          <w:bCs/>
          <w:lang w:val="es-ES"/>
        </w:rPr>
        <w:t xml:space="preserve">”, </w:t>
      </w:r>
      <w:r>
        <w:rPr>
          <w:lang w:val="es-ES"/>
        </w:rPr>
        <w:t>con la cual se está desarrollando en conjunto una solución. Cuando se menciona el equipo de desarrollo se hace referencia a las personas que estarán al frente de la ejecución del proyecto</w:t>
      </w:r>
      <w:r w:rsidR="00562B39">
        <w:rPr>
          <w:lang w:val="es-ES"/>
        </w:rPr>
        <w:t>.</w:t>
      </w:r>
    </w:p>
    <w:p w14:paraId="2498DE59" w14:textId="4C9C83A5" w:rsidR="00DF3FFB" w:rsidRPr="00DF3FFB" w:rsidRDefault="00562B39" w:rsidP="00F84F7A">
      <w:pPr>
        <w:rPr>
          <w:lang w:val="es-ES"/>
        </w:rPr>
      </w:pPr>
      <w:r>
        <w:rPr>
          <w:lang w:val="es-ES"/>
        </w:rPr>
        <w:t>El equipo de desarrollo</w:t>
      </w:r>
      <w:r w:rsidR="00DF3FFB">
        <w:rPr>
          <w:lang w:val="es-ES"/>
        </w:rPr>
        <w:t xml:space="preserve"> </w:t>
      </w:r>
      <w:r>
        <w:rPr>
          <w:lang w:val="es-ES"/>
        </w:rPr>
        <w:t xml:space="preserve">es </w:t>
      </w:r>
      <w:r w:rsidR="00DF3FFB">
        <w:rPr>
          <w:lang w:val="es-ES"/>
        </w:rPr>
        <w:t>un grupo de estudiantes interdisciplinario de ingeniería motivados por</w:t>
      </w:r>
      <w:r>
        <w:rPr>
          <w:lang w:val="es-ES"/>
        </w:rPr>
        <w:t xml:space="preserve"> la tecnología</w:t>
      </w:r>
      <w:r w:rsidR="00DF3FFB">
        <w:rPr>
          <w:lang w:val="es-ES"/>
        </w:rPr>
        <w:t xml:space="preserve"> y la automatización de procesos, </w:t>
      </w:r>
      <w:r>
        <w:rPr>
          <w:lang w:val="es-ES"/>
        </w:rPr>
        <w:t>los cuales cuentan</w:t>
      </w:r>
      <w:r w:rsidR="00DF3FFB">
        <w:rPr>
          <w:lang w:val="es-ES"/>
        </w:rPr>
        <w:t xml:space="preserve"> con experiencia en grupos de desarrollo, adopción y puesta en productivo de proyectos en la industria</w:t>
      </w:r>
    </w:p>
    <w:p w14:paraId="173BE3A3" w14:textId="5DA32706" w:rsidR="00F84F7A" w:rsidRDefault="00DF3FFB" w:rsidP="00F84F7A">
      <w:pPr>
        <w:rPr>
          <w:lang w:val="es-ES"/>
        </w:rPr>
      </w:pPr>
      <w:r>
        <w:rPr>
          <w:lang w:val="es-ES"/>
        </w:rPr>
        <w:t xml:space="preserve">El </w:t>
      </w:r>
      <w:r w:rsidR="00562B39">
        <w:rPr>
          <w:lang w:val="es-ES"/>
        </w:rPr>
        <w:t>objetivo</w:t>
      </w:r>
      <w:r>
        <w:rPr>
          <w:lang w:val="es-ES"/>
        </w:rPr>
        <w:t xml:space="preserve"> de este documento es presentar una propuesta para </w:t>
      </w:r>
      <w:r w:rsidR="00562B39">
        <w:rPr>
          <w:lang w:val="es-ES"/>
        </w:rPr>
        <w:t>la ejecución</w:t>
      </w:r>
      <w:r>
        <w:rPr>
          <w:lang w:val="es-ES"/>
        </w:rPr>
        <w:t xml:space="preserve"> de una aplicación la cual tiene como fin integrar unos servicios </w:t>
      </w:r>
      <w:r w:rsidR="00562B39">
        <w:rPr>
          <w:lang w:val="es-ES"/>
        </w:rPr>
        <w:t>de facturación</w:t>
      </w:r>
      <w:r>
        <w:rPr>
          <w:lang w:val="es-ES"/>
        </w:rPr>
        <w:t xml:space="preserve"> </w:t>
      </w:r>
      <w:r w:rsidR="00562B39">
        <w:rPr>
          <w:lang w:val="es-ES"/>
        </w:rPr>
        <w:t>que</w:t>
      </w:r>
      <w:r>
        <w:rPr>
          <w:lang w:val="es-ES"/>
        </w:rPr>
        <w:t xml:space="preserve"> tiene como finalidad la reducción de gasto</w:t>
      </w:r>
      <w:r w:rsidR="00562B39">
        <w:rPr>
          <w:lang w:val="es-ES"/>
        </w:rPr>
        <w:t>s</w:t>
      </w:r>
      <w:r>
        <w:rPr>
          <w:lang w:val="es-ES"/>
        </w:rPr>
        <w:t xml:space="preserve"> operativo</w:t>
      </w:r>
      <w:r w:rsidR="00562B39">
        <w:rPr>
          <w:lang w:val="es-ES"/>
        </w:rPr>
        <w:t>s</w:t>
      </w:r>
      <w:r>
        <w:rPr>
          <w:lang w:val="es-ES"/>
        </w:rPr>
        <w:t xml:space="preserve"> y horas humanas dedicas. Esto nace</w:t>
      </w:r>
      <w:r w:rsidR="00562B39">
        <w:rPr>
          <w:lang w:val="es-ES"/>
        </w:rPr>
        <w:t xml:space="preserve"> bajo</w:t>
      </w:r>
      <w:r>
        <w:rPr>
          <w:lang w:val="es-ES"/>
        </w:rPr>
        <w:t xml:space="preserve"> la necesidad </w:t>
      </w:r>
      <w:r w:rsidR="00562B39">
        <w:rPr>
          <w:lang w:val="es-ES"/>
        </w:rPr>
        <w:t>de optimizar los</w:t>
      </w:r>
      <w:r>
        <w:rPr>
          <w:lang w:val="es-ES"/>
        </w:rPr>
        <w:t xml:space="preserve"> procesos internos</w:t>
      </w:r>
      <w:r w:rsidR="00562B39">
        <w:rPr>
          <w:lang w:val="es-ES"/>
        </w:rPr>
        <w:t>,</w:t>
      </w:r>
      <w:r>
        <w:rPr>
          <w:lang w:val="es-ES"/>
        </w:rPr>
        <w:t xml:space="preserve"> mitigando los posibles errores humanos que se presentan con el método actual.</w:t>
      </w:r>
    </w:p>
    <w:p w14:paraId="063748F3" w14:textId="11F64E4C" w:rsidR="00DF3FFB" w:rsidRDefault="00DF3FFB" w:rsidP="00F84F7A">
      <w:pPr>
        <w:rPr>
          <w:lang w:val="es-ES"/>
        </w:rPr>
      </w:pPr>
    </w:p>
    <w:p w14:paraId="3126800B" w14:textId="734E2ACF" w:rsidR="00DF3FFB" w:rsidRDefault="000709DA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t>Compromisos del equipo de desarrollo</w:t>
      </w:r>
    </w:p>
    <w:p w14:paraId="0B558739" w14:textId="2BFBD5C8" w:rsidR="00DF3FFB" w:rsidRPr="000709DA" w:rsidRDefault="00DF3FFB" w:rsidP="00DF3FF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El equipo de desarrollo se compromete a entregar una interfaz visual para la factura</w:t>
      </w:r>
      <w:r w:rsidR="000709DA">
        <w:rPr>
          <w:lang w:val="es-ES"/>
        </w:rPr>
        <w:t>ción, con todas las funcionalidades necesarias para su correcto funcionamiento</w:t>
      </w:r>
    </w:p>
    <w:p w14:paraId="12B52B98" w14:textId="77777777" w:rsidR="00562B39" w:rsidRPr="00562B39" w:rsidRDefault="000709DA" w:rsidP="00562B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El equipo se compromete a desarrollar cada uno de los puntos mencionados en el Word “</w:t>
      </w:r>
      <w:r w:rsidRPr="000709DA">
        <w:rPr>
          <w:lang w:val="es-ES"/>
        </w:rPr>
        <w:t>ACUEDUCTO MULTIVEREDAL CALDAS ANTIOQUIA</w:t>
      </w:r>
      <w:r w:rsidRPr="000709DA">
        <w:rPr>
          <w:lang w:val="es-ES"/>
        </w:rPr>
        <w:t>” – “</w:t>
      </w:r>
      <w:r w:rsidRPr="000709DA">
        <w:rPr>
          <w:rFonts w:ascii="Arial" w:hAnsi="Arial" w:cs="Arial"/>
          <w:color w:val="000000"/>
        </w:rPr>
        <w:t>PROCESO DE FACTURACIÓN Y DIFICULTADES</w:t>
      </w:r>
      <w:r>
        <w:rPr>
          <w:lang w:val="es-ES"/>
        </w:rPr>
        <w:t xml:space="preserve">”  </w:t>
      </w:r>
    </w:p>
    <w:p w14:paraId="030CF017" w14:textId="501D64E9" w:rsidR="00562B39" w:rsidRPr="00562B39" w:rsidRDefault="00562B39" w:rsidP="00562B39">
      <w:pPr>
        <w:pStyle w:val="Prrafodelista"/>
        <w:rPr>
          <w:b/>
          <w:bCs/>
          <w:lang w:val="es-ES"/>
        </w:rPr>
      </w:pPr>
      <w:r w:rsidRPr="00562B39">
        <w:rPr>
          <w:lang w:val="es-ES"/>
        </w:rPr>
        <w:t>https://drive.google.com/file/d/18SxNP242COBlJqyG8JzULR2XmoAkTTC4/view?usp=sharing</w:t>
      </w:r>
    </w:p>
    <w:p w14:paraId="1DD45B81" w14:textId="029EBFD2" w:rsidR="000709DA" w:rsidRPr="000709DA" w:rsidRDefault="000709DA" w:rsidP="00DF3FF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El equipo de desarrollo se compromete a hacer un acompañamiento durante </w:t>
      </w:r>
      <w:r w:rsidR="00871EF5">
        <w:rPr>
          <w:lang w:val="es-ES"/>
        </w:rPr>
        <w:t>4</w:t>
      </w:r>
      <w:r>
        <w:rPr>
          <w:lang w:val="es-ES"/>
        </w:rPr>
        <w:t xml:space="preserve"> meses del proceso de facturación, después de entregar el desarrollo del proyecto mencionado en el punto 1 y 2</w:t>
      </w:r>
    </w:p>
    <w:p w14:paraId="7F2818F8" w14:textId="63E832B1" w:rsidR="000E4ABD" w:rsidRPr="000E4ABD" w:rsidRDefault="008904B0" w:rsidP="000E4AB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lastRenderedPageBreak/>
        <w:t xml:space="preserve">Cualquier actividad adicional que no estén incluidos en los acuerdos pactados iniciales tendrá un costo adicional a la </w:t>
      </w:r>
      <w:r w:rsidR="00871EF5">
        <w:rPr>
          <w:lang w:val="es-ES"/>
        </w:rPr>
        <w:t>compañía</w:t>
      </w:r>
      <w:r>
        <w:rPr>
          <w:lang w:val="es-ES"/>
        </w:rPr>
        <w:t xml:space="preserve">. </w:t>
      </w:r>
      <w:r w:rsidR="00871EF5">
        <w:rPr>
          <w:lang w:val="es-ES"/>
        </w:rPr>
        <w:t>Sin embargo,</w:t>
      </w:r>
      <w:r>
        <w:rPr>
          <w:lang w:val="es-ES"/>
        </w:rPr>
        <w:t xml:space="preserve"> pueden existir </w:t>
      </w:r>
      <w:r w:rsidR="00871EF5">
        <w:rPr>
          <w:lang w:val="es-ES"/>
        </w:rPr>
        <w:t>actividades</w:t>
      </w:r>
      <w:r>
        <w:rPr>
          <w:lang w:val="es-ES"/>
        </w:rPr>
        <w:t xml:space="preserve"> en </w:t>
      </w:r>
      <w:r w:rsidR="00871EF5">
        <w:rPr>
          <w:lang w:val="es-ES"/>
        </w:rPr>
        <w:t>el proceso, que implique un cambio en la definición que no acarrea procesos adicionales¸ este tipo de cambios no generaran ningún costo</w:t>
      </w:r>
      <w:r w:rsidR="000E4ABD">
        <w:rPr>
          <w:lang w:val="es-ES"/>
        </w:rPr>
        <w:t>. Revisar tabla 1</w:t>
      </w:r>
    </w:p>
    <w:p w14:paraId="6FE3E2CB" w14:textId="63BF161A" w:rsidR="008904B0" w:rsidRPr="000E4ABD" w:rsidRDefault="00871EF5" w:rsidP="008904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Al ser este un desarrollo de co-creación, durante</w:t>
      </w:r>
      <w:r w:rsidR="008904B0">
        <w:rPr>
          <w:lang w:val="es-ES"/>
        </w:rPr>
        <w:t xml:space="preserve"> el periodo de ejecución se requiere un acompañamiento de un miembro de la compañía que tenga todo el entendimiento de la facturación y el proceso contable.</w:t>
      </w:r>
    </w:p>
    <w:p w14:paraId="34BFC5C1" w14:textId="68CA282D" w:rsidR="000E4ABD" w:rsidRPr="000E4ABD" w:rsidRDefault="000E4ABD" w:rsidP="000E4AB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El equipo de desarrollo tendrá la disposición de realizar actualizaciones a la aplicación luego de entregada, esto generará costos adicionales a la compañía, revisar tabla 1</w:t>
      </w:r>
    </w:p>
    <w:p w14:paraId="234899A3" w14:textId="5897F4E2" w:rsidR="003457AD" w:rsidRPr="00A713D1" w:rsidRDefault="003457AD" w:rsidP="003457A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El equipo de desarrollo se desvincula de cualquier proceso jurídico relacionado con la contabilidad y el manejo de finanzas de la compañía durante y después del proceso de desarrollo</w:t>
      </w:r>
    </w:p>
    <w:p w14:paraId="589A5F16" w14:textId="18E35B6F" w:rsidR="00A713D1" w:rsidRPr="000709DA" w:rsidRDefault="00A713D1" w:rsidP="003457A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Durante el periodo de desarrollo la compañía y el equipo de desarrollo se compromete a unos encuentros cada 20 días para revisar avances.</w:t>
      </w:r>
    </w:p>
    <w:p w14:paraId="14480B23" w14:textId="2AE0019A" w:rsidR="00DF3FFB" w:rsidRDefault="00DF3FFB" w:rsidP="00F84F7A">
      <w:pPr>
        <w:rPr>
          <w:lang w:val="es-ES"/>
        </w:rPr>
      </w:pPr>
    </w:p>
    <w:p w14:paraId="6EAA3A26" w14:textId="228EE7E3" w:rsidR="00DF3FFB" w:rsidRDefault="00DF3FFB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t>Tiempo</w:t>
      </w:r>
    </w:p>
    <w:p w14:paraId="5F62C2C9" w14:textId="56665D2D" w:rsidR="00871EF5" w:rsidRPr="00871EF5" w:rsidRDefault="00871EF5" w:rsidP="00F84F7A">
      <w:pPr>
        <w:rPr>
          <w:lang w:val="es-ES"/>
        </w:rPr>
      </w:pPr>
      <w:r>
        <w:rPr>
          <w:lang w:val="es-ES"/>
        </w:rPr>
        <w:t xml:space="preserve">La ejecución del proyecto </w:t>
      </w:r>
      <w:r w:rsidR="00A713D1">
        <w:rPr>
          <w:lang w:val="es-ES"/>
        </w:rPr>
        <w:t xml:space="preserve">está planteada </w:t>
      </w:r>
      <w:r>
        <w:rPr>
          <w:lang w:val="es-ES"/>
        </w:rPr>
        <w:t xml:space="preserve">en un periodo de 9 meses, </w:t>
      </w:r>
      <w:r w:rsidR="000E4ABD">
        <w:rPr>
          <w:lang w:val="es-ES"/>
        </w:rPr>
        <w:t>Se dividen en dos etapas,</w:t>
      </w:r>
      <w:r>
        <w:rPr>
          <w:lang w:val="es-ES"/>
        </w:rPr>
        <w:t xml:space="preserve"> se </w:t>
      </w:r>
      <w:r w:rsidR="00A713D1">
        <w:rPr>
          <w:lang w:val="es-ES"/>
        </w:rPr>
        <w:t>estima</w:t>
      </w:r>
      <w:r w:rsidR="000E4ABD">
        <w:rPr>
          <w:lang w:val="es-ES"/>
        </w:rPr>
        <w:t>n</w:t>
      </w:r>
      <w:r>
        <w:rPr>
          <w:lang w:val="es-ES"/>
        </w:rPr>
        <w:t xml:space="preserve"> 5 meses de desarrollo de la aplicación y 4 meses en el tiempo de pruebas</w:t>
      </w:r>
      <w:r w:rsidR="00A713D1">
        <w:rPr>
          <w:lang w:val="es-ES"/>
        </w:rPr>
        <w:t>. Estos tiempos están sujetos a cambios</w:t>
      </w:r>
    </w:p>
    <w:p w14:paraId="7F00548C" w14:textId="77777777" w:rsidR="00DF3FFB" w:rsidRPr="00DF3FFB" w:rsidRDefault="00DF3FFB" w:rsidP="00F84F7A">
      <w:pPr>
        <w:rPr>
          <w:b/>
          <w:bCs/>
          <w:lang w:val="es-ES"/>
        </w:rPr>
      </w:pPr>
    </w:p>
    <w:p w14:paraId="01249D36" w14:textId="5717445D" w:rsidR="00F84F7A" w:rsidRDefault="00A713D1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t>Costo</w:t>
      </w:r>
    </w:p>
    <w:p w14:paraId="32A681E5" w14:textId="3011751E" w:rsidR="00A713D1" w:rsidRDefault="00A713D1" w:rsidP="00F84F7A">
      <w:pPr>
        <w:rPr>
          <w:lang w:val="es-ES"/>
        </w:rPr>
      </w:pPr>
      <w:r>
        <w:rPr>
          <w:lang w:val="es-ES"/>
        </w:rPr>
        <w:t>El proyecto tiene un costo de COP $8’400.000 (Ocho millones cuatrocientos mil)</w:t>
      </w:r>
      <w:r w:rsidR="00041E49">
        <w:rPr>
          <w:lang w:val="es-ES"/>
        </w:rPr>
        <w:t xml:space="preserve"> netos</w:t>
      </w:r>
      <w:r w:rsidR="00C53FE6">
        <w:rPr>
          <w:lang w:val="es-ES"/>
        </w:rPr>
        <w:t>. El primer pago será del 50% del total, COP $4’200.000 (Cuatro millones doscientos mil) que se efectuará al momento de entregar la aplicación funcional. El 50% restante se dará luego de finalizar la etapa de prueba</w:t>
      </w:r>
      <w:r w:rsidR="000E4ABD">
        <w:rPr>
          <w:lang w:val="es-ES"/>
        </w:rPr>
        <w:t>s</w:t>
      </w:r>
      <w:r w:rsidR="00C53FE6">
        <w:rPr>
          <w:lang w:val="es-ES"/>
        </w:rPr>
        <w:t>.</w:t>
      </w:r>
    </w:p>
    <w:p w14:paraId="309725DD" w14:textId="3194624F" w:rsidR="00C53FE6" w:rsidRDefault="00C53FE6" w:rsidP="00F84F7A">
      <w:pPr>
        <w:rPr>
          <w:lang w:val="es-E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354"/>
        <w:gridCol w:w="2312"/>
        <w:gridCol w:w="2086"/>
        <w:gridCol w:w="2086"/>
      </w:tblGrid>
      <w:tr w:rsidR="00C53FE6" w14:paraId="109E5AB8" w14:textId="77777777" w:rsidTr="00C5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4" w:type="dxa"/>
          </w:tcPr>
          <w:p w14:paraId="01B1BEE3" w14:textId="21A7BFE8" w:rsidR="00C53FE6" w:rsidRDefault="00C53FE6" w:rsidP="00F84F7A">
            <w:pPr>
              <w:rPr>
                <w:lang w:val="es-ES"/>
              </w:rPr>
            </w:pPr>
            <w:r>
              <w:rPr>
                <w:lang w:val="es-ES"/>
              </w:rPr>
              <w:t>ITEM</w:t>
            </w:r>
          </w:p>
        </w:tc>
        <w:tc>
          <w:tcPr>
            <w:tcW w:w="2312" w:type="dxa"/>
          </w:tcPr>
          <w:p w14:paraId="1AF4ADC2" w14:textId="546A240F" w:rsidR="00C53FE6" w:rsidRDefault="00C53FE6" w:rsidP="00F8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 (cop)</w:t>
            </w:r>
          </w:p>
        </w:tc>
        <w:tc>
          <w:tcPr>
            <w:tcW w:w="2086" w:type="dxa"/>
          </w:tcPr>
          <w:p w14:paraId="6C3CEDD8" w14:textId="44219C55" w:rsidR="00C53FE6" w:rsidRDefault="00C53FE6" w:rsidP="00F8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(en dias)</w:t>
            </w:r>
          </w:p>
        </w:tc>
        <w:tc>
          <w:tcPr>
            <w:tcW w:w="2086" w:type="dxa"/>
          </w:tcPr>
          <w:p w14:paraId="37BAB429" w14:textId="7E0DA341" w:rsidR="00C53FE6" w:rsidRDefault="00C53FE6" w:rsidP="00F8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53FE6" w14:paraId="7BA289B2" w14:textId="77777777" w:rsidTr="00C5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260B05CF" w14:textId="439C640E" w:rsidR="00C53FE6" w:rsidRDefault="00C53FE6" w:rsidP="00F84F7A">
            <w:pPr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  <w:tc>
          <w:tcPr>
            <w:tcW w:w="2312" w:type="dxa"/>
          </w:tcPr>
          <w:p w14:paraId="0FEA9C2F" w14:textId="4DC66AC2" w:rsidR="00C53FE6" w:rsidRDefault="00C53FE6" w:rsidP="00F8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C5481">
              <w:rPr>
                <w:lang w:val="es-ES"/>
              </w:rPr>
              <w:t>2</w:t>
            </w:r>
            <w:r>
              <w:rPr>
                <w:lang w:val="es-ES"/>
              </w:rPr>
              <w:t>0.000</w:t>
            </w:r>
          </w:p>
        </w:tc>
        <w:tc>
          <w:tcPr>
            <w:tcW w:w="2086" w:type="dxa"/>
          </w:tcPr>
          <w:p w14:paraId="7FCF59F4" w14:textId="7EFB4339" w:rsidR="00C53FE6" w:rsidRDefault="00C53FE6" w:rsidP="00F8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</w:p>
        </w:tc>
        <w:tc>
          <w:tcPr>
            <w:tcW w:w="2086" w:type="dxa"/>
          </w:tcPr>
          <w:p w14:paraId="36768394" w14:textId="787D73C6" w:rsidR="00C53FE6" w:rsidRDefault="00C53FE6" w:rsidP="00F8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53FE6" w14:paraId="5BC3DA2E" w14:textId="77777777" w:rsidTr="00C53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25897610" w14:textId="3C0E060D" w:rsidR="00C53FE6" w:rsidRDefault="00C53FE6" w:rsidP="00F84F7A">
            <w:pPr>
              <w:rPr>
                <w:lang w:val="es-ES"/>
              </w:rPr>
            </w:pPr>
            <w:r>
              <w:rPr>
                <w:lang w:val="es-ES"/>
              </w:rPr>
              <w:t>actualizaciones</w:t>
            </w:r>
          </w:p>
        </w:tc>
        <w:tc>
          <w:tcPr>
            <w:tcW w:w="2312" w:type="dxa"/>
          </w:tcPr>
          <w:p w14:paraId="25831C28" w14:textId="79D5E8D7" w:rsidR="00C53FE6" w:rsidRDefault="00C53FE6" w:rsidP="00F8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80.000</w:t>
            </w:r>
          </w:p>
        </w:tc>
        <w:tc>
          <w:tcPr>
            <w:tcW w:w="2086" w:type="dxa"/>
          </w:tcPr>
          <w:p w14:paraId="2BABF141" w14:textId="1E528C4C" w:rsidR="00C53FE6" w:rsidRDefault="00C53FE6" w:rsidP="00F8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086" w:type="dxa"/>
          </w:tcPr>
          <w:p w14:paraId="31DBE3ED" w14:textId="50BADC8D" w:rsidR="00C53FE6" w:rsidRDefault="00C53FE6" w:rsidP="00F8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53FE6" w14:paraId="3BDC9A77" w14:textId="77777777" w:rsidTr="00C5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039603CF" w14:textId="1D0B6145" w:rsidR="00C53FE6" w:rsidRDefault="001C5481" w:rsidP="00F84F7A">
            <w:pPr>
              <w:rPr>
                <w:lang w:val="es-ES"/>
              </w:rPr>
            </w:pPr>
            <w:r>
              <w:rPr>
                <w:lang w:val="es-ES"/>
              </w:rPr>
              <w:t>Nuevas versiones</w:t>
            </w:r>
          </w:p>
        </w:tc>
        <w:tc>
          <w:tcPr>
            <w:tcW w:w="2312" w:type="dxa"/>
          </w:tcPr>
          <w:p w14:paraId="2D1CE1A9" w14:textId="263BDE93" w:rsidR="00C53FE6" w:rsidRDefault="001C5481" w:rsidP="00F8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convenir</w:t>
            </w:r>
          </w:p>
        </w:tc>
        <w:tc>
          <w:tcPr>
            <w:tcW w:w="2086" w:type="dxa"/>
          </w:tcPr>
          <w:p w14:paraId="53BC0991" w14:textId="1441C10C" w:rsidR="00C53FE6" w:rsidRDefault="001C5481" w:rsidP="00F8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convenir</w:t>
            </w:r>
          </w:p>
        </w:tc>
        <w:tc>
          <w:tcPr>
            <w:tcW w:w="2086" w:type="dxa"/>
          </w:tcPr>
          <w:p w14:paraId="4809D27B" w14:textId="7E5310E4" w:rsidR="00C53FE6" w:rsidRDefault="00C53FE6" w:rsidP="00F8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02D736E" w14:textId="77777777" w:rsidR="001C5481" w:rsidRDefault="001C5481" w:rsidP="001C5481">
      <w:pPr>
        <w:jc w:val="center"/>
        <w:rPr>
          <w:i/>
          <w:iCs/>
          <w:sz w:val="20"/>
          <w:szCs w:val="20"/>
          <w:lang w:val="es-ES"/>
        </w:rPr>
      </w:pPr>
    </w:p>
    <w:p w14:paraId="248C2E11" w14:textId="28C6DDB6" w:rsidR="00C53FE6" w:rsidRDefault="001C5481" w:rsidP="001C5481">
      <w:pPr>
        <w:jc w:val="center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s-ES"/>
        </w:rPr>
        <w:t>Tabla 1</w:t>
      </w:r>
    </w:p>
    <w:p w14:paraId="7034527A" w14:textId="05B9C85C" w:rsidR="000E4ABD" w:rsidRPr="000E4ABD" w:rsidRDefault="000E4ABD" w:rsidP="000E4ABD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Las nuevas versionas </w:t>
      </w:r>
      <w:r w:rsidR="00950F8B">
        <w:rPr>
          <w:sz w:val="20"/>
          <w:szCs w:val="20"/>
          <w:lang w:val="es-ES"/>
        </w:rPr>
        <w:t>hacen referencia a los cambios en el desarrollo que requerían un periodo de actualización mayor a tres días.</w:t>
      </w:r>
    </w:p>
    <w:p w14:paraId="6A09A2A0" w14:textId="77777777" w:rsidR="001C5481" w:rsidRPr="001C5481" w:rsidRDefault="001C5481" w:rsidP="001C5481">
      <w:pPr>
        <w:jc w:val="center"/>
        <w:rPr>
          <w:i/>
          <w:iCs/>
          <w:sz w:val="20"/>
          <w:szCs w:val="20"/>
          <w:lang w:val="es-ES"/>
        </w:rPr>
      </w:pPr>
    </w:p>
    <w:p w14:paraId="3AC761A6" w14:textId="0FC0E7DB" w:rsidR="00A713D1" w:rsidRDefault="001C5481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t>Vigencia</w:t>
      </w:r>
    </w:p>
    <w:p w14:paraId="79A96C1A" w14:textId="0C551D45" w:rsidR="001C5481" w:rsidRDefault="001C5481" w:rsidP="00F84F7A">
      <w:pPr>
        <w:rPr>
          <w:lang w:val="es-ES"/>
        </w:rPr>
      </w:pPr>
      <w:r>
        <w:rPr>
          <w:lang w:val="es-ES"/>
        </w:rPr>
        <w:t>Esta propuesta es valida durante los siguiente 20 días hábiles luego de ser presentada.</w:t>
      </w:r>
    </w:p>
    <w:p w14:paraId="385092DE" w14:textId="0204DC4D" w:rsidR="001C5481" w:rsidRDefault="001C5481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Detalles</w:t>
      </w:r>
    </w:p>
    <w:p w14:paraId="0F841F30" w14:textId="5AAD242B" w:rsidR="001C5481" w:rsidRDefault="001C5481" w:rsidP="00F84F7A">
      <w:pPr>
        <w:rPr>
          <w:b/>
          <w:bCs/>
          <w:lang w:val="es-ES"/>
        </w:rPr>
      </w:pPr>
    </w:p>
    <w:p w14:paraId="3F516B26" w14:textId="2DDAF017" w:rsidR="001C5481" w:rsidRDefault="001C5481" w:rsidP="00F84F7A">
      <w:pPr>
        <w:rPr>
          <w:b/>
          <w:bCs/>
          <w:lang w:val="es-ES"/>
        </w:rPr>
      </w:pPr>
      <w:r>
        <w:rPr>
          <w:b/>
          <w:bCs/>
          <w:lang w:val="es-ES"/>
        </w:rPr>
        <w:t>Lo que no está incluido</w:t>
      </w:r>
    </w:p>
    <w:p w14:paraId="200E34F8" w14:textId="50639D08" w:rsidR="00041E49" w:rsidRPr="00041E49" w:rsidRDefault="001C5481" w:rsidP="00041E49">
      <w:pPr>
        <w:pStyle w:val="Prrafodelista"/>
        <w:numPr>
          <w:ilvl w:val="0"/>
          <w:numId w:val="2"/>
        </w:numPr>
        <w:rPr>
          <w:lang w:val="es-ES"/>
        </w:rPr>
      </w:pPr>
      <w:r w:rsidRPr="00041E49">
        <w:rPr>
          <w:lang w:val="es-ES"/>
        </w:rPr>
        <w:t xml:space="preserve">Gastos en los que pueda incurrir la compañía para toda la legalización de la </w:t>
      </w:r>
      <w:r w:rsidR="00041E49" w:rsidRPr="00041E49">
        <w:rPr>
          <w:lang w:val="es-ES"/>
        </w:rPr>
        <w:t>facturación</w:t>
      </w:r>
      <w:r w:rsidR="00041E49">
        <w:rPr>
          <w:lang w:val="es-ES"/>
        </w:rPr>
        <w:t>.</w:t>
      </w:r>
    </w:p>
    <w:p w14:paraId="768B75E0" w14:textId="5373C050" w:rsidR="001C5481" w:rsidRPr="00950F8B" w:rsidRDefault="00041E49" w:rsidP="00F84F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Pr="00041E49">
        <w:rPr>
          <w:lang w:val="es-ES"/>
        </w:rPr>
        <w:t>ste proyecto no tiene como finalidad presentar un informe contable</w:t>
      </w:r>
      <w:r>
        <w:rPr>
          <w:lang w:val="es-ES"/>
        </w:rPr>
        <w:t xml:space="preserve">, solo se </w:t>
      </w:r>
      <w:proofErr w:type="gramStart"/>
      <w:r>
        <w:rPr>
          <w:lang w:val="es-ES"/>
        </w:rPr>
        <w:t>presentaran</w:t>
      </w:r>
      <w:proofErr w:type="gramEnd"/>
      <w:r>
        <w:rPr>
          <w:lang w:val="es-ES"/>
        </w:rPr>
        <w:t xml:space="preserve"> los descriptivos planteados en el segundo punto de los compromisos del equipo de desarrollo</w:t>
      </w:r>
      <w:r w:rsidR="001C5481" w:rsidRPr="00950F8B">
        <w:rPr>
          <w:lang w:val="es-ES"/>
        </w:rPr>
        <w:t xml:space="preserve">  </w:t>
      </w:r>
    </w:p>
    <w:p w14:paraId="166E665B" w14:textId="4BC3EDA3" w:rsidR="00F84F7A" w:rsidRDefault="00F84F7A" w:rsidP="00F84F7A">
      <w:pPr>
        <w:rPr>
          <w:lang w:val="es-ES"/>
        </w:rPr>
      </w:pPr>
    </w:p>
    <w:p w14:paraId="3631CB80" w14:textId="77777777" w:rsidR="00F84F7A" w:rsidRDefault="00F84F7A" w:rsidP="00F84F7A">
      <w:pPr>
        <w:rPr>
          <w:lang w:val="es-ES"/>
        </w:rPr>
      </w:pPr>
    </w:p>
    <w:p w14:paraId="16CAE790" w14:textId="2471A328" w:rsidR="00F84F7A" w:rsidRPr="00F84F7A" w:rsidRDefault="00F84F7A" w:rsidP="00F84F7A">
      <w:pPr>
        <w:rPr>
          <w:lang w:val="es-ES"/>
        </w:rPr>
      </w:pPr>
    </w:p>
    <w:sectPr w:rsidR="00F84F7A" w:rsidRPr="00F84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25ADF"/>
    <w:multiLevelType w:val="hybridMultilevel"/>
    <w:tmpl w:val="5C442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36362"/>
    <w:multiLevelType w:val="hybridMultilevel"/>
    <w:tmpl w:val="DC6E0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7A"/>
    <w:rsid w:val="00041E49"/>
    <w:rsid w:val="000709DA"/>
    <w:rsid w:val="000D17CE"/>
    <w:rsid w:val="000E4ABD"/>
    <w:rsid w:val="001C5481"/>
    <w:rsid w:val="00222BB8"/>
    <w:rsid w:val="003457AD"/>
    <w:rsid w:val="00562B39"/>
    <w:rsid w:val="00871EF5"/>
    <w:rsid w:val="008904B0"/>
    <w:rsid w:val="00950F8B"/>
    <w:rsid w:val="00A713D1"/>
    <w:rsid w:val="00C53FE6"/>
    <w:rsid w:val="00DF3FFB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0360"/>
  <w15:chartTrackingRefBased/>
  <w15:docId w15:val="{D7F0FCBF-036C-49DA-83F8-EC70CAD2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4F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F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F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53F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ltiveredalcaldasantioqu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Chaverra Cuartas</dc:creator>
  <cp:keywords/>
  <dc:description/>
  <cp:lastModifiedBy>Juan David Chaverra Cuartas</cp:lastModifiedBy>
  <cp:revision>2</cp:revision>
  <dcterms:created xsi:type="dcterms:W3CDTF">2020-10-05T00:37:00Z</dcterms:created>
  <dcterms:modified xsi:type="dcterms:W3CDTF">2020-10-05T02:37:00Z</dcterms:modified>
</cp:coreProperties>
</file>