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DATASET 03 — CONECTIVIDAD FÍSICA</w:t>
        <w:br/>
        <w:t>CHOCÓ</w:t>
      </w:r>
    </w:p>
    <w:p>
      <w:pPr>
        <w:jc w:val="center"/>
      </w:pPr>
      <w:r>
        <w:rPr>
          <w:i/>
        </w:rPr>
        <w:t>Documento metodológico y de cierre del dataset</w:t>
      </w:r>
    </w:p>
    <w:p>
      <w:r>
        <w:t>Objetivo: caracterizar la conectividad física de los municipios del Chocó desde tres dimensiones: infraestructura disponible, accesibilidad territorial y desigualdad en los costos de movilidad.</w:t>
      </w:r>
    </w:p>
    <w:p>
      <w:pPr>
        <w:pStyle w:val="Heading1"/>
      </w:pPr>
      <w:r>
        <w:t>1. Estructura conceptual</w:t>
      </w:r>
    </w:p>
    <w:p>
      <w:pPr>
        <w:pStyle w:val="ListBullet"/>
      </w:pPr>
      <w:r>
        <w:t>Infraestructura terrestre: red vial, categoría, calzada y superficie.</w:t>
      </w:r>
    </w:p>
    <w:p>
      <w:pPr>
        <w:pStyle w:val="ListBullet"/>
      </w:pPr>
      <w:r>
        <w:t>Infraestructura aérea: aeródromos y presencia de servicio programado.</w:t>
      </w:r>
    </w:p>
    <w:p>
      <w:pPr>
        <w:pStyle w:val="ListBullet"/>
      </w:pPr>
      <w:r>
        <w:t>Conectividad/accesibilidad: Brecha de Conectividad Física del DNP y sus componentes carretero y fluvial.</w:t>
      </w:r>
    </w:p>
    <w:p>
      <w:pPr>
        <w:pStyle w:val="ListBullet"/>
      </w:pPr>
      <w:r>
        <w:t>Desigualdad de movilidad: Gini de Movilidad calculado a partir del gasto en transporte de los hogares del SISBÉN IV.</w:t>
      </w:r>
    </w:p>
    <w:p>
      <w:pPr>
        <w:pStyle w:val="Heading1"/>
      </w:pPr>
      <w:r>
        <w:t>2. Variables incorporadas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Variable</w:t>
            </w:r>
          </w:p>
        </w:tc>
        <w:tc>
          <w:tcPr>
            <w:tcW w:type="dxa" w:w="1461"/>
          </w:tcPr>
          <w:p>
            <w:r>
              <w:t>Fuente</w:t>
            </w:r>
          </w:p>
        </w:tc>
        <w:tc>
          <w:tcPr>
            <w:tcW w:type="dxa" w:w="1461"/>
          </w:tcPr>
          <w:p>
            <w:r>
              <w:t>Año</w:t>
            </w:r>
          </w:p>
        </w:tc>
        <w:tc>
          <w:tcPr>
            <w:tcW w:type="dxa" w:w="1461"/>
          </w:tcPr>
          <w:p>
            <w:r>
              <w:t>Nivel</w:t>
            </w:r>
          </w:p>
        </w:tc>
        <w:tc>
          <w:tcPr>
            <w:tcW w:type="dxa" w:w="1461"/>
          </w:tcPr>
          <w:p>
            <w:r>
              <w:t>Metodología</w:t>
            </w:r>
          </w:p>
        </w:tc>
        <w:tc>
          <w:tcPr>
            <w:tcW w:type="dxa" w:w="1461"/>
          </w:tcPr>
          <w:p>
            <w:r>
              <w:t>Semáforo</w:t>
            </w:r>
          </w:p>
        </w:tc>
        <w:tc>
          <w:tcPr>
            <w:tcW w:type="dxa" w:w="1461"/>
          </w:tcPr>
          <w:p>
            <w:r>
              <w:t>Calidad / observación</w:t>
            </w:r>
          </w:p>
        </w:tc>
      </w:tr>
      <w:tr>
        <w:tc>
          <w:tcPr>
            <w:tcW w:type="dxa" w:w="1461"/>
            <w:vAlign w:val="center"/>
          </w:tcPr>
          <w:p>
            <w:r>
              <w:t>Red vial nacional</w:t>
            </w:r>
          </w:p>
        </w:tc>
        <w:tc>
          <w:tcPr>
            <w:tcW w:type="dxa" w:w="1461"/>
            <w:vAlign w:val="center"/>
          </w:tcPr>
          <w:p>
            <w:r>
              <w:t>INVIAS</w:t>
            </w:r>
          </w:p>
        </w:tc>
        <w:tc>
          <w:tcPr>
            <w:tcW w:type="dxa" w:w="1461"/>
            <w:vAlign w:val="center"/>
          </w:tcPr>
          <w:p>
            <w:r>
              <w:t>2026</w:t>
            </w:r>
          </w:p>
        </w:tc>
        <w:tc>
          <w:tcPr>
            <w:tcW w:type="dxa" w:w="1461"/>
            <w:vAlign w:val="center"/>
          </w:tcPr>
          <w:p>
            <w:r>
              <w:t>Tramo / departamental</w:t>
            </w:r>
          </w:p>
        </w:tc>
        <w:tc>
          <w:tcPr>
            <w:tcW w:type="dxa" w:w="1461"/>
            <w:vAlign w:val="center"/>
          </w:tcPr>
          <w:p>
            <w:r>
              <w:t>Longitud geométrica de los registros de la red vial identificados para Chocó.</w:t>
            </w:r>
          </w:p>
        </w:tc>
        <w:tc>
          <w:tcPr>
            <w:tcW w:type="dxa" w:w="1461"/>
            <w:vAlign w:val="center"/>
          </w:tcPr>
          <w:p>
            <w:r>
              <w:t>🟢 Usar</w:t>
            </w:r>
          </w:p>
        </w:tc>
        <w:tc>
          <w:tcPr>
            <w:tcW w:type="dxa" w:w="1461"/>
            <w:vAlign w:val="center"/>
          </w:tcPr>
          <w:p>
            <w:r>
              <w:t>Fuente oficial.</w:t>
            </w:r>
          </w:p>
        </w:tc>
      </w:tr>
      <w:tr>
        <w:tc>
          <w:tcPr>
            <w:tcW w:type="dxa" w:w="1461"/>
            <w:vAlign w:val="center"/>
          </w:tcPr>
          <w:p>
            <w:r>
              <w:t>Categoría vial</w:t>
            </w:r>
          </w:p>
        </w:tc>
        <w:tc>
          <w:tcPr>
            <w:tcW w:type="dxa" w:w="1461"/>
            <w:vAlign w:val="center"/>
          </w:tcPr>
          <w:p>
            <w:r>
              <w:t>INVIAS</w:t>
            </w:r>
          </w:p>
        </w:tc>
        <w:tc>
          <w:tcPr>
            <w:tcW w:type="dxa" w:w="1461"/>
            <w:vAlign w:val="center"/>
          </w:tcPr>
          <w:p>
            <w:r>
              <w:t>2026</w:t>
            </w:r>
          </w:p>
        </w:tc>
        <w:tc>
          <w:tcPr>
            <w:tcW w:type="dxa" w:w="1461"/>
            <w:vAlign w:val="center"/>
          </w:tcPr>
          <w:p>
            <w:r>
              <w:t>Tramo</w:t>
            </w:r>
          </w:p>
        </w:tc>
        <w:tc>
          <w:tcPr>
            <w:tcW w:type="dxa" w:w="1461"/>
            <w:vAlign w:val="center"/>
          </w:tcPr>
          <w:p>
            <w:r>
              <w:t>Clasificación de la red según el campo de categoría de INVIAS.</w:t>
            </w:r>
          </w:p>
        </w:tc>
        <w:tc>
          <w:tcPr>
            <w:tcW w:type="dxa" w:w="1461"/>
            <w:vAlign w:val="center"/>
          </w:tcPr>
          <w:p>
            <w:r>
              <w:t>🟢 Usar</w:t>
            </w:r>
          </w:p>
        </w:tc>
        <w:tc>
          <w:tcPr>
            <w:tcW w:type="dxa" w:w="1461"/>
            <w:vAlign w:val="center"/>
          </w:tcPr>
          <w:p>
            <w:r>
              <w:t>Fuente oficial.</w:t>
            </w:r>
          </w:p>
        </w:tc>
      </w:tr>
      <w:tr>
        <w:tc>
          <w:tcPr>
            <w:tcW w:type="dxa" w:w="1461"/>
            <w:vAlign w:val="center"/>
          </w:tcPr>
          <w:p>
            <w:r>
              <w:t>Calzada</w:t>
            </w:r>
          </w:p>
        </w:tc>
        <w:tc>
          <w:tcPr>
            <w:tcW w:type="dxa" w:w="1461"/>
            <w:vAlign w:val="center"/>
          </w:tcPr>
          <w:p>
            <w:r>
              <w:t>INVIAS</w:t>
            </w:r>
          </w:p>
        </w:tc>
        <w:tc>
          <w:tcPr>
            <w:tcW w:type="dxa" w:w="1461"/>
            <w:vAlign w:val="center"/>
          </w:tcPr>
          <w:p>
            <w:r>
              <w:t>2026</w:t>
            </w:r>
          </w:p>
        </w:tc>
        <w:tc>
          <w:tcPr>
            <w:tcW w:type="dxa" w:w="1461"/>
            <w:vAlign w:val="center"/>
          </w:tcPr>
          <w:p>
            <w:r>
              <w:t>Tramo</w:t>
            </w:r>
          </w:p>
        </w:tc>
        <w:tc>
          <w:tcPr>
            <w:tcW w:type="dxa" w:w="1461"/>
            <w:vAlign w:val="center"/>
          </w:tcPr>
          <w:p>
            <w:r>
              <w:t>Atributo de la red vial.</w:t>
            </w:r>
          </w:p>
        </w:tc>
        <w:tc>
          <w:tcPr>
            <w:tcW w:type="dxa" w:w="1461"/>
            <w:vAlign w:val="center"/>
          </w:tcPr>
          <w:p>
            <w:r>
              <w:t>🟢 Usar</w:t>
            </w:r>
          </w:p>
        </w:tc>
        <w:tc>
          <w:tcPr>
            <w:tcW w:type="dxa" w:w="1461"/>
            <w:vAlign w:val="center"/>
          </w:tcPr>
          <w:p>
            <w:r>
              <w:t>Fuente oficial.</w:t>
            </w:r>
          </w:p>
        </w:tc>
      </w:tr>
      <w:tr>
        <w:tc>
          <w:tcPr>
            <w:tcW w:type="dxa" w:w="1461"/>
            <w:vAlign w:val="center"/>
          </w:tcPr>
          <w:p>
            <w:r>
              <w:t>Superficie vial</w:t>
            </w:r>
          </w:p>
        </w:tc>
        <w:tc>
          <w:tcPr>
            <w:tcW w:type="dxa" w:w="1461"/>
            <w:vAlign w:val="center"/>
          </w:tcPr>
          <w:p>
            <w:r>
              <w:t>INVIAS</w:t>
            </w:r>
          </w:p>
        </w:tc>
        <w:tc>
          <w:tcPr>
            <w:tcW w:type="dxa" w:w="1461"/>
            <w:vAlign w:val="center"/>
          </w:tcPr>
          <w:p>
            <w:r>
              <w:t>2026</w:t>
            </w:r>
          </w:p>
        </w:tc>
        <w:tc>
          <w:tcPr>
            <w:tcW w:type="dxa" w:w="1461"/>
            <w:vAlign w:val="center"/>
          </w:tcPr>
          <w:p>
            <w:r>
              <w:t>Tramo</w:t>
            </w:r>
          </w:p>
        </w:tc>
        <w:tc>
          <w:tcPr>
            <w:tcW w:type="dxa" w:w="1461"/>
            <w:vAlign w:val="center"/>
          </w:tcPr>
          <w:p>
            <w:r>
              <w:t>Pavimentada / Sin Pavimentar / Por Definir según codificación de la fuente.</w:t>
            </w:r>
          </w:p>
        </w:tc>
        <w:tc>
          <w:tcPr>
            <w:tcW w:type="dxa" w:w="1461"/>
            <w:vAlign w:val="center"/>
          </w:tcPr>
          <w:p>
            <w:r>
              <w:t>🟢 Usar</w:t>
            </w:r>
          </w:p>
        </w:tc>
        <w:tc>
          <w:tcPr>
            <w:tcW w:type="dxa" w:w="1461"/>
            <w:vAlign w:val="center"/>
          </w:tcPr>
          <w:p>
            <w:r>
              <w:t>En Chocó los registros revisados aparecen como 'Por Definir'.</w:t>
            </w:r>
          </w:p>
        </w:tc>
      </w:tr>
      <w:tr>
        <w:tc>
          <w:tcPr>
            <w:tcW w:type="dxa" w:w="1461"/>
            <w:vAlign w:val="center"/>
          </w:tcPr>
          <w:p>
            <w:r>
              <w:t>Estado de revisión vial</w:t>
            </w:r>
          </w:p>
        </w:tc>
        <w:tc>
          <w:tcPr>
            <w:tcW w:type="dxa" w:w="1461"/>
            <w:vAlign w:val="center"/>
          </w:tcPr>
          <w:p>
            <w:r>
              <w:t>INVIAS</w:t>
            </w:r>
          </w:p>
        </w:tc>
        <w:tc>
          <w:tcPr>
            <w:tcW w:type="dxa" w:w="1461"/>
            <w:vAlign w:val="center"/>
          </w:tcPr>
          <w:p>
            <w:r>
              <w:t>2026</w:t>
            </w:r>
          </w:p>
        </w:tc>
        <w:tc>
          <w:tcPr>
            <w:tcW w:type="dxa" w:w="1461"/>
            <w:vAlign w:val="center"/>
          </w:tcPr>
          <w:p>
            <w:r>
              <w:t>Tramo</w:t>
            </w:r>
          </w:p>
        </w:tc>
        <w:tc>
          <w:tcPr>
            <w:tcW w:type="dxa" w:w="1461"/>
            <w:vAlign w:val="center"/>
          </w:tcPr>
          <w:p>
            <w:r>
              <w:t>Campo revisionestado de la capa.</w:t>
            </w:r>
          </w:p>
        </w:tc>
        <w:tc>
          <w:tcPr>
            <w:tcW w:type="dxa" w:w="1461"/>
            <w:vAlign w:val="center"/>
          </w:tcPr>
          <w:p>
            <w:r>
              <w:t>🟢 Usar</w:t>
            </w:r>
          </w:p>
        </w:tc>
        <w:tc>
          <w:tcPr>
            <w:tcW w:type="dxa" w:w="1461"/>
            <w:vAlign w:val="center"/>
          </w:tcPr>
          <w:p>
            <w:r>
              <w:t>Los registros revisados de Chocó figuran como 'No Revisado'.</w:t>
            </w:r>
          </w:p>
        </w:tc>
      </w:tr>
      <w:tr>
        <w:tc>
          <w:tcPr>
            <w:tcW w:type="dxa" w:w="1461"/>
            <w:vAlign w:val="center"/>
          </w:tcPr>
          <w:p>
            <w:r>
              <w:t>Brecha de conectividad física</w:t>
            </w:r>
          </w:p>
        </w:tc>
        <w:tc>
          <w:tcPr>
            <w:tcW w:type="dxa" w:w="1461"/>
            <w:vAlign w:val="center"/>
          </w:tcPr>
          <w:p>
            <w:r>
              <w:t>DNP</w:t>
            </w:r>
          </w:p>
        </w:tc>
        <w:tc>
          <w:tcPr>
            <w:tcW w:type="dxa" w:w="1461"/>
            <w:vAlign w:val="center"/>
          </w:tcPr>
          <w:p>
            <w:r>
              <w:t>2022</w:t>
            </w:r>
          </w:p>
        </w:tc>
        <w:tc>
          <w:tcPr>
            <w:tcW w:type="dxa" w:w="1461"/>
            <w:vAlign w:val="center"/>
          </w:tcPr>
          <w:p>
            <w:r>
              <w:t>Municipal</w:t>
            </w:r>
          </w:p>
        </w:tc>
        <w:tc>
          <w:tcPr>
            <w:tcW w:type="dxa" w:w="1461"/>
            <w:vAlign w:val="center"/>
          </w:tcPr>
          <w:p>
            <w:r>
              <w:t>Normalización del tiempo de desplazamiento de la cabecera municipal a la ciudad más cercana del sistema de ciudades; 90% carretero y 10% fluvial.</w:t>
            </w:r>
          </w:p>
        </w:tc>
        <w:tc>
          <w:tcPr>
            <w:tcW w:type="dxa" w:w="1461"/>
            <w:vAlign w:val="center"/>
          </w:tcPr>
          <w:p>
            <w:r>
              <w:t>🟢 Usar directamente</w:t>
            </w:r>
          </w:p>
        </w:tc>
        <w:tc>
          <w:tcPr>
            <w:tcW w:type="dxa" w:w="1461"/>
            <w:vAlign w:val="center"/>
          </w:tcPr>
          <w:p>
            <w:r>
              <w:t>Rango 0–1; 1 = mayor brecha.</w:t>
            </w:r>
          </w:p>
        </w:tc>
      </w:tr>
      <w:tr>
        <w:tc>
          <w:tcPr>
            <w:tcW w:type="dxa" w:w="1461"/>
            <w:vAlign w:val="center"/>
          </w:tcPr>
          <w:p>
            <w:r>
              <w:t>Componente carretero de la brecha</w:t>
            </w:r>
          </w:p>
        </w:tc>
        <w:tc>
          <w:tcPr>
            <w:tcW w:type="dxa" w:w="1461"/>
            <w:vAlign w:val="center"/>
          </w:tcPr>
          <w:p>
            <w:r>
              <w:t>DNP</w:t>
            </w:r>
          </w:p>
        </w:tc>
        <w:tc>
          <w:tcPr>
            <w:tcW w:type="dxa" w:w="1461"/>
            <w:vAlign w:val="center"/>
          </w:tcPr>
          <w:p>
            <w:r>
              <w:t>2022</w:t>
            </w:r>
          </w:p>
        </w:tc>
        <w:tc>
          <w:tcPr>
            <w:tcW w:type="dxa" w:w="1461"/>
            <w:vAlign w:val="center"/>
          </w:tcPr>
          <w:p>
            <w:r>
              <w:t>Municipal</w:t>
            </w:r>
          </w:p>
        </w:tc>
        <w:tc>
          <w:tcPr>
            <w:tcW w:type="dxa" w:w="1461"/>
            <w:vAlign w:val="center"/>
          </w:tcPr>
          <w:p>
            <w:r>
              <w:t>Componente del indicador de brecha de conectividad física.</w:t>
            </w:r>
          </w:p>
        </w:tc>
        <w:tc>
          <w:tcPr>
            <w:tcW w:type="dxa" w:w="1461"/>
            <w:vAlign w:val="center"/>
          </w:tcPr>
          <w:p>
            <w:r>
              <w:t>🟢 Usar directamente</w:t>
            </w:r>
          </w:p>
        </w:tc>
        <w:tc>
          <w:tcPr>
            <w:tcW w:type="dxa" w:w="1461"/>
            <w:vAlign w:val="center"/>
          </w:tcPr>
          <w:p>
            <w:r>
              <w:t>Mantener como variable de la fuente.</w:t>
            </w:r>
          </w:p>
        </w:tc>
      </w:tr>
      <w:tr>
        <w:tc>
          <w:tcPr>
            <w:tcW w:type="dxa" w:w="1461"/>
            <w:vAlign w:val="center"/>
          </w:tcPr>
          <w:p>
            <w:r>
              <w:t>Componente fluvial de la brecha</w:t>
            </w:r>
          </w:p>
        </w:tc>
        <w:tc>
          <w:tcPr>
            <w:tcW w:type="dxa" w:w="1461"/>
            <w:vAlign w:val="center"/>
          </w:tcPr>
          <w:p>
            <w:r>
              <w:t>DNP</w:t>
            </w:r>
          </w:p>
        </w:tc>
        <w:tc>
          <w:tcPr>
            <w:tcW w:type="dxa" w:w="1461"/>
            <w:vAlign w:val="center"/>
          </w:tcPr>
          <w:p>
            <w:r>
              <w:t>2022</w:t>
            </w:r>
          </w:p>
        </w:tc>
        <w:tc>
          <w:tcPr>
            <w:tcW w:type="dxa" w:w="1461"/>
            <w:vAlign w:val="center"/>
          </w:tcPr>
          <w:p>
            <w:r>
              <w:t>Municipal</w:t>
            </w:r>
          </w:p>
        </w:tc>
        <w:tc>
          <w:tcPr>
            <w:tcW w:type="dxa" w:w="1461"/>
            <w:vAlign w:val="center"/>
          </w:tcPr>
          <w:p>
            <w:r>
              <w:t>Componente del indicador de brecha de conectividad física.</w:t>
            </w:r>
          </w:p>
        </w:tc>
        <w:tc>
          <w:tcPr>
            <w:tcW w:type="dxa" w:w="1461"/>
            <w:vAlign w:val="center"/>
          </w:tcPr>
          <w:p>
            <w:r>
              <w:t>🟢 Usar directamente</w:t>
            </w:r>
          </w:p>
        </w:tc>
        <w:tc>
          <w:tcPr>
            <w:tcW w:type="dxa" w:w="1461"/>
            <w:vAlign w:val="center"/>
          </w:tcPr>
          <w:p>
            <w:r>
              <w:t>Mantener como variable de la fuente.</w:t>
            </w:r>
          </w:p>
        </w:tc>
      </w:tr>
      <w:tr>
        <w:tc>
          <w:tcPr>
            <w:tcW w:type="dxa" w:w="1461"/>
            <w:vAlign w:val="center"/>
          </w:tcPr>
          <w:p>
            <w:r>
              <w:t>Gini de movilidad</w:t>
            </w:r>
          </w:p>
        </w:tc>
        <w:tc>
          <w:tcPr>
            <w:tcW w:type="dxa" w:w="1461"/>
            <w:vAlign w:val="center"/>
          </w:tcPr>
          <w:p>
            <w:r>
              <w:t>DNP / SISBÉN IV</w:t>
            </w:r>
          </w:p>
        </w:tc>
        <w:tc>
          <w:tcPr>
            <w:tcW w:type="dxa" w:w="1461"/>
            <w:vAlign w:val="center"/>
          </w:tcPr>
          <w:p>
            <w:r>
              <w:t>Anual; ficha actualizada 2025</w:t>
            </w:r>
          </w:p>
        </w:tc>
        <w:tc>
          <w:tcPr>
            <w:tcW w:type="dxa" w:w="1461"/>
            <w:vAlign w:val="center"/>
          </w:tcPr>
          <w:p>
            <w:r>
              <w:t>Municipal</w:t>
            </w:r>
          </w:p>
        </w:tc>
        <w:tc>
          <w:tcPr>
            <w:tcW w:type="dxa" w:w="1461"/>
            <w:vAlign w:val="center"/>
          </w:tcPr>
          <w:p>
            <w:r>
              <w:t>Gini aplicado al gasto en transporte de los hogares de cada municipio.</w:t>
            </w:r>
          </w:p>
        </w:tc>
        <w:tc>
          <w:tcPr>
            <w:tcW w:type="dxa" w:w="1461"/>
            <w:vAlign w:val="center"/>
          </w:tcPr>
          <w:p>
            <w:r>
              <w:t>🟢 Usar directamente</w:t>
            </w:r>
          </w:p>
        </w:tc>
        <w:tc>
          <w:tcPr>
            <w:tcW w:type="dxa" w:w="1461"/>
            <w:vAlign w:val="center"/>
          </w:tcPr>
          <w:p>
            <w:r>
              <w:t>No mide conectividad; mide desigualdad del gasto de transporte.</w:t>
            </w:r>
          </w:p>
        </w:tc>
      </w:tr>
      <w:tr>
        <w:tc>
          <w:tcPr>
            <w:tcW w:type="dxa" w:w="1461"/>
            <w:vAlign w:val="center"/>
          </w:tcPr>
          <w:p>
            <w:r>
              <w:t>Número de aeródromos</w:t>
            </w:r>
          </w:p>
        </w:tc>
        <w:tc>
          <w:tcPr>
            <w:tcW w:type="dxa" w:w="1461"/>
            <w:vAlign w:val="center"/>
          </w:tcPr>
          <w:p>
            <w:r>
              <w:t>Inventario aeroportuario revisado</w:t>
            </w:r>
          </w:p>
        </w:tc>
        <w:tc>
          <w:tcPr>
            <w:tcW w:type="dxa" w:w="1461"/>
            <w:vAlign w:val="center"/>
          </w:tcPr>
          <w:p>
            <w:r>
              <w:t>No determinado</w:t>
            </w:r>
          </w:p>
        </w:tc>
        <w:tc>
          <w:tcPr>
            <w:tcW w:type="dxa" w:w="1461"/>
            <w:vAlign w:val="center"/>
          </w:tcPr>
          <w:p>
            <w:r>
              <w:t>Municipal</w:t>
            </w:r>
          </w:p>
        </w:tc>
        <w:tc>
          <w:tcPr>
            <w:tcW w:type="dxa" w:w="1461"/>
            <w:vAlign w:val="center"/>
          </w:tcPr>
          <w:p>
            <w:r>
              <w:t>Conteo de instalaciones identificadas, previa homologación y deduplicación.</w:t>
            </w:r>
          </w:p>
        </w:tc>
        <w:tc>
          <w:tcPr>
            <w:tcW w:type="dxa" w:w="1461"/>
            <w:vAlign w:val="center"/>
          </w:tcPr>
          <w:p>
            <w:r>
              <w:t>🟡 Adaptar</w:t>
            </w:r>
          </w:p>
        </w:tc>
        <w:tc>
          <w:tcPr>
            <w:tcW w:type="dxa" w:w="1461"/>
            <w:vAlign w:val="center"/>
          </w:tcPr>
          <w:p>
            <w:r>
              <w:t>Validar contra fuente oficial de Aerocivil antes de considerarlo definitivo.</w:t>
            </w:r>
          </w:p>
        </w:tc>
      </w:tr>
      <w:tr>
        <w:tc>
          <w:tcPr>
            <w:tcW w:type="dxa" w:w="1461"/>
            <w:vAlign w:val="center"/>
          </w:tcPr>
          <w:p>
            <w:r>
              <w:t>Aeródromo con servicio programado</w:t>
            </w:r>
          </w:p>
        </w:tc>
        <w:tc>
          <w:tcPr>
            <w:tcW w:type="dxa" w:w="1461"/>
            <w:vAlign w:val="center"/>
          </w:tcPr>
          <w:p>
            <w:r>
              <w:t>Inventario aeroportuario revisado</w:t>
            </w:r>
          </w:p>
        </w:tc>
        <w:tc>
          <w:tcPr>
            <w:tcW w:type="dxa" w:w="1461"/>
            <w:vAlign w:val="center"/>
          </w:tcPr>
          <w:p>
            <w:r>
              <w:t>No determinado</w:t>
            </w:r>
          </w:p>
        </w:tc>
        <w:tc>
          <w:tcPr>
            <w:tcW w:type="dxa" w:w="1461"/>
            <w:vAlign w:val="center"/>
          </w:tcPr>
          <w:p>
            <w:r>
              <w:t>Municipal</w:t>
            </w:r>
          </w:p>
        </w:tc>
        <w:tc>
          <w:tcPr>
            <w:tcW w:type="dxa" w:w="1461"/>
            <w:vAlign w:val="center"/>
          </w:tcPr>
          <w:p>
            <w:r>
              <w:t>Presencia de al menos un aeródromo con servicio programado.</w:t>
            </w:r>
          </w:p>
        </w:tc>
        <w:tc>
          <w:tcPr>
            <w:tcW w:type="dxa" w:w="1461"/>
            <w:vAlign w:val="center"/>
          </w:tcPr>
          <w:p>
            <w:r>
              <w:t>🟡 Adaptar</w:t>
            </w:r>
          </w:p>
        </w:tc>
        <w:tc>
          <w:tcPr>
            <w:tcW w:type="dxa" w:w="1461"/>
            <w:vAlign w:val="center"/>
          </w:tcPr>
          <w:p>
            <w:r>
              <w:t>No confundir infraestructura existente con conectividad aérea efectiva.</w:t>
            </w:r>
          </w:p>
        </w:tc>
      </w:tr>
    </w:tbl>
    <w:p>
      <w:pPr>
        <w:pStyle w:val="Heading1"/>
      </w:pPr>
      <w:r>
        <w:t>3. Red vial: resultado de la fuente INVIAS</w:t>
      </w:r>
    </w:p>
    <w:p>
      <w:r>
        <w:t>La capa revisada contiene 6 registros correspondientes al Territorial 10 (Chocó), con una longitud geométrica total aproximada de 279,712 km.</w:t>
      </w:r>
    </w:p>
    <w:p>
      <w:pPr>
        <w:pStyle w:val="ListBullet"/>
      </w:pPr>
      <w:r>
        <w:t>257,267 km corresponden a categoría 1.</w:t>
      </w:r>
    </w:p>
    <w:p>
      <w:pPr>
        <w:pStyle w:val="ListBullet"/>
      </w:pPr>
      <w:r>
        <w:t>22,446 km corresponden a categoría 3.</w:t>
      </w:r>
    </w:p>
    <w:p>
      <w:pPr>
        <w:pStyle w:val="ListBullet"/>
      </w:pPr>
      <w:r>
        <w:t>Los 279,712 km aparecen con superficie = 3 ('Por Definir'). No se deben interpretar como vías sin pavimentar.</w:t>
      </w:r>
    </w:p>
    <w:p>
      <w:pPr>
        <w:pStyle w:val="ListBullet"/>
      </w:pPr>
      <w:r>
        <w:t>Los registros revisados tienen estado de revisión 'No Revisado'.</w:t>
      </w:r>
    </w:p>
    <w:p>
      <w:r>
        <w:t>Limitación: la capa vial utilizada no contiene DIVIPOLA municipal. Por ello, la asignación de kilómetros a cada municipio mediante intersección GIS queda como una mejora pendiente y no se inventa a partir de nombres de tramos.</w:t>
      </w:r>
    </w:p>
    <w:p>
      <w:pPr>
        <w:pStyle w:val="Heading1"/>
      </w:pPr>
      <w:r>
        <w:t>4. Indicadores DNP: interpretación</w:t>
      </w:r>
    </w:p>
    <w:p>
      <w:r>
        <w:t>Brecha de conectividad física: mide la brecha de accesibilidad física mediante el tiempo de desplazamiento carretero y fluvial desde la cabecera municipal hasta el sistema de ciudades. El rango es 0–1: 0 representa menor brecha y 1 mayor brecha. La fórmula pondera 90% el componente carretero y 10% el fluvial.</w:t>
      </w:r>
    </w:p>
    <w:p>
      <w:r>
        <w:t>Gini de movilidad: mide la desigualdad en la distribución del gasto en transporte entre los hogares de cada municipio a partir de SISBÉN IV. No debe interpretarse como un indicador de infraestructura ni como una medida directa de accesibilidad.</w:t>
      </w:r>
    </w:p>
    <w:p>
      <w:pPr>
        <w:pStyle w:val="Heading1"/>
      </w:pPr>
      <w:r>
        <w:t>5. Infraestructura aérea</w:t>
      </w:r>
    </w:p>
    <w:p>
      <w:r>
        <w:t>Se identificó un inventario aeroportuario con nombres, códigos ICAO/IATA y coordenadas. Presenta duplicados y diferencias de nomenclatura (por ejemplo, Quibdo/Quibdó y Jurado/Juradó), por lo que se requiere homologación antes de fusionarlo definitivamente con DIVIPOLA.</w:t>
      </w:r>
    </w:p>
    <w:p>
      <w:r>
        <w:t>El inventario revisado muestra instalaciones en Acandí, Bahía Solano, Bajo Baudó, Condoto, Juradó, Nuquí, Quibdó y Unguía, entre otros registros. El archivo también distingue instalaciones con servicio programado y cerradas. Se conserva como componente complementario y no como fuente definitiva hasta su validación con Aerocivil.</w:t>
      </w:r>
    </w:p>
    <w:p>
      <w:pPr>
        <w:pStyle w:val="Heading1"/>
      </w:pPr>
      <w:r>
        <w:t>6. Variables no construidas / pendientes</w:t>
      </w:r>
    </w:p>
    <w:p>
      <w:pPr>
        <w:pStyle w:val="ListBullet"/>
      </w:pPr>
      <w:r>
        <w:t>Kilómetros de red vial desagregados por municipio mediante intersección GIS con polígonos municipales DANE.</w:t>
      </w:r>
    </w:p>
    <w:p>
      <w:pPr>
        <w:pStyle w:val="ListBullet"/>
      </w:pPr>
      <w:r>
        <w:t>Inventario oficial consolidado de muelles y embarcaderos existentes.</w:t>
      </w:r>
    </w:p>
    <w:p>
      <w:pPr>
        <w:pStyle w:val="ListBullet"/>
      </w:pPr>
      <w:r>
        <w:t>Aeródromos validados directamente contra Aerocivil.</w:t>
      </w:r>
    </w:p>
    <w:p>
      <w:pPr>
        <w:pStyle w:val="ListBullet"/>
      </w:pPr>
      <w:r>
        <w:t>Puentes, si posteriormente se considera que aportan al análisis.</w:t>
      </w:r>
    </w:p>
    <w:p>
      <w:pPr>
        <w:pStyle w:val="ListBullet"/>
      </w:pPr>
      <w:r>
        <w:t>Matriz origen-destino propia o tiempos brutos de viaje: no son indispensables para el dataset base porque la Brecha DNP ya incorpora tiempos carreteros y fluviales.</w:t>
      </w:r>
    </w:p>
    <w:p>
      <w:pPr>
        <w:pStyle w:val="Heading1"/>
      </w:pPr>
      <w:r>
        <w:t>7. Regla de uso</w:t>
      </w:r>
    </w:p>
    <w:p>
      <w:r>
        <w:t>El dataset no reconstruye indicadores que ya existen oficialmente. La Brecha de Conectividad Física y el Gini de Movilidad se utilizan directamente según sus fichas técnicas. Los datos de INVIAS se utilizan como infraestructura observada. Las variables que requieran transformación o homologación se mantienen identificadas como amarillas.</w:t>
      </w:r>
    </w:p>
    <w:p>
      <w:pPr>
        <w:pStyle w:val="Heading1"/>
      </w:pPr>
      <w:r>
        <w:t>8. Estado de cierre</w:t>
      </w:r>
    </w:p>
    <w:p>
      <w:r>
        <w:rPr>
          <w:b/>
        </w:rPr>
        <w:t>Dataset 03 — APTO PARA TRABAJAR</w:t>
      </w:r>
      <w:r>
        <w:t>. La estructura central está suficientemente consolidada para continuar con el análisis y avanzar al Dataset 04. Las mejoras pendientes quedan documentadas y no bloquean el trabajo.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