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Arial" w:cs="Arial" w:eastAsia="Arial" w:hAnsi="Arial"/>
          <w:b/>
          <w:bCs/>
          <w:color w:val="555555"/>
          <w:spacing w:val="30"/>
          <w:sz w:val="16"/>
          <w:szCs w:val="16"/>
        </w:rPr>
        <w:t xml:space="preserve">TIENDAS SUPER NIÑO</w:t>
      </w:r>
    </w:p>
    <w:p>
      <w:pPr>
        <w:pBdr>
          <w:bottom w:val="single" w:color="111111" w:sz="18" w:space="4"/>
        </w:pBdr>
        <w:spacing w:after="8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Metadata</w:t>
      </w:r>
      <w:r>
        <w:rPr>
          <w:rFonts w:ascii="Arial" w:cs="Arial" w:eastAsia="Arial" w:hAnsi="Arial"/>
          <w:b/>
          <w:bCs/>
          <w:color w:val="A100FF"/>
          <w:sz w:val="44"/>
          <w:szCs w:val="44"/>
        </w:rPr>
        <w:t xml:space="preserve">  ·  Logística</w:t>
      </w:r>
    </w:p>
    <w:p>
      <w:pPr>
        <w:keepNext/>
        <w:spacing w:after="60" w:before="10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EL NEGOCIO</w:t>
      </w:r>
    </w:p>
    <w:p>
      <w:pPr>
        <w:spacing w:after="80" w:line="252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Tiendas Super Niño vende indumentaria de invierno a través de su tienda online (app, web y marketplaces). Al confirmarse la compra, el sistema le promete al cliente una cantidad de días para recibir el pedido, que depende de la zona de destino. El pedido se prepara en uno o dos depósitos y lo retira un courier estándar, que lo entrega en el domicilio del cliente.</w:t>
      </w:r>
    </w:p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QUÉ ES UN ATRASO Y CUÁNTO CUESTA</w:t>
      </w:r>
    </w:p>
    <w:p>
      <w:pPr>
        <w:spacing w:after="80" w:line="252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Un pedido se considera atrasado cuando llega después del plazo que se le prometió al cliente. Cada atraso le genera un costo a Super Niño: se le reembolsa el envío, se le regala un cupón de disculpa y se atiende el reclamo en atención al cliente.</w:t>
      </w:r>
    </w:p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LA HERRAMIENTA DEL ÁREA</w:t>
      </w:r>
    </w:p>
    <w:p>
      <w:pPr>
        <w:spacing w:after="80" w:line="252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Antes de despachar un pedido, Logística puede pasarlo a un </w:t>
      </w: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courier premium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, que garantiza la entrega dentro del plazo prometido. El servicio premium es más caro que el estándar y el contrato con el proveedor fija un cupo máximo de pedidos por lote de despacho.</w:t>
      </w:r>
    </w:p>
    <w:p>
      <w:pPr>
        <w:spacing w:after="80" w:line="252"/>
      </w:pPr>
      <w:r>
        <w:rPr>
          <w:rFonts w:ascii="Arial" w:cs="Arial" w:eastAsia="Arial" w:hAnsi="Arial"/>
          <w:color w:val="111111"/>
          <w:sz w:val="19"/>
          <w:szCs w:val="19"/>
        </w:rPr>
        <w:t xml:space="preserve">Hoy todos los pedidos salen con el courier estándar. En cada lote, el área tiene que decidir cuáles de los pedidos que están por salir conviene pasar a premium.</w:t>
      </w:r>
    </w:p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COSTOS Y LÍMITES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6"/>
        <w:gridCol w:w="3000"/>
      </w:tblGrid>
      <w:tr>
        <w:trPr>
          <w:cantSplit/>
          <w:tblHeader/>
        </w:trPr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CONCEPTO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Costo promedio de un pedido atrasado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$9.000</w:t>
            </w:r>
          </w:p>
        </w:tc>
      </w:tr>
      <w:tr>
        <w:trPr>
          <w:cantSplit/>
        </w:trPr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Costo del courier premium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$4.500 por pedido</w:t>
            </w:r>
          </w:p>
        </w:tc>
      </w:tr>
      <w:tr>
        <w:trPr>
          <w:cantSplit/>
        </w:trPr>
        <w:tc>
          <w:tcPr>
            <w:tcW w:type="dxa" w:w="73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Cupo del contrato premium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25 pedidos por lote</w:t>
            </w:r>
          </w:p>
        </w:tc>
      </w:tr>
    </w:tbl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LOS ARCHIVOS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106"/>
      </w:tblGrid>
      <w:tr>
        <w:trPr>
          <w:cantSplit/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ARCHIVO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QUÉ 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historico.csv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Pedidos ya despachados, con el resultado de la entrega (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late_flag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casos_nuevos.csv</w:t>
            </w:r>
          </w:p>
        </w:tc>
        <w:tc>
          <w:tcPr>
            <w:tcW w:type="dxa" w:w="81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Pedidos del lote que está por despacharse. No incluye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late_flag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.</w:t>
            </w:r>
          </w:p>
        </w:tc>
      </w:tr>
    </w:tbl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LAS VARIABLES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806"/>
      </w:tblGrid>
      <w:tr>
        <w:trPr>
          <w:cantSplit/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VARIABLE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20"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OrdID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Identificador del pedido.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fCompra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Fecha y hora de la compra (AAAA-MM-DD hh:mm:ss, hora de Argentina).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zn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Zona de destino: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AMBA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CEN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(Centro),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LIT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(Litoral),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CUY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(Cuyo),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NOA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NEA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PAT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(Patagonia).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pkg_kg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Peso total del paquete, en kilos.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ARS_tot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Valor total del pedido, en pesos.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n_it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Cantidad de artículos del pedido.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crr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Courier estándar asignado: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K1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K2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K3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prom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Días prometidos al cliente para la entrega.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spl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1 si el pedido sale en más de un paquete, desde dos depósitos distintos (envío partido).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chn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Canal de compra: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app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web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mkt</w:t>
            </w: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 (marketplace).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f1ra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1 si es la primera compra del cliente.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dto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Descuento aplicado al pedido, en %.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T_ent_d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Días que tardó realmente el pedido en llegar al cliente.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nps_pst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Puntaje de 1 a 10 que el cliente dejó en la encuesta de satisfacción. Vacío si no respondió.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ctc_pst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Cantidad de veces que el cliente contactó a atención por este pedido.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Consolas" w:cs="Consolas" w:eastAsia="Consolas" w:hAnsi="Consolas"/>
                <w:color w:val="111111"/>
                <w:sz w:val="18"/>
                <w:szCs w:val="18"/>
              </w:rPr>
              <w:t xml:space="preserve">late_flag</w:t>
            </w:r>
          </w:p>
        </w:tc>
        <w:tc>
          <w:tcPr>
            <w:tcW w:type="dxa" w:w="8806"/>
            <w:tcBorders>
              <w:top w:val="none" w:color="FFFFFF" w:sz="0"/>
              <w:left w:val="none" w:color="FFFFFF" w:sz="0"/>
              <w:bottom w:val="single" w:color="BBBBBB" w:sz="4"/>
              <w:right w:val="none" w:color="FFFFFF" w:sz="0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top"/>
          </w:tcPr>
          <w:p>
            <w:pPr>
              <w:spacing w:after="0" w:line="244"/>
            </w:pPr>
            <w:r>
              <w:rPr>
                <w:rFonts w:ascii="Arial" w:cs="Arial" w:eastAsia="Arial" w:hAnsi="Arial"/>
                <w:color w:val="111111"/>
                <w:sz w:val="19"/>
                <w:szCs w:val="19"/>
              </w:rPr>
              <w:t xml:space="preserve">1 si el pedido llegó después de la fecha prometida, 0 si llegó a tiempo.</w:t>
            </w:r>
          </w:p>
        </w:tc>
      </w:tr>
    </w:tbl>
    <w:p>
      <w:pPr>
        <w:keepNext/>
        <w:pageBreakBefore/>
        <w:pBdr>
          <w:bottom w:val="single" w:color="111111" w:sz="18" w:space="4"/>
        </w:pBdr>
        <w:spacing w:after="100" w:before="0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Pistas para trabajar con Claude</w:t>
      </w:r>
    </w:p>
    <w:p>
      <w:pPr>
        <w:keepNext/>
        <w:keepLines/>
        <w:spacing w:after="50" w:before="120" w:line="262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1. Ordená las variables antes de empezar.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Pasale a Claude la descripción de las variables de este archivo y pedile que, en función de esa descripción, te ordene los datos y escriba bien los nombres de las variables: nombres claros, consistentes y en el mismo formato. Después usá esos nombres en todo el trabajo.</w:t>
      </w:r>
    </w:p>
    <w:p>
      <w:pPr>
        <w:keepLines/>
        <w:pBdr>
          <w:left w:val="single" w:color="A100FF" w:sz="12" w:space="8"/>
        </w:pBdr>
        <w:spacing w:after="60" w:line="250"/>
        <w:ind w:left="2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Ejemplo: </w:t>
      </w:r>
      <w:r>
        <w:rPr>
          <w:rFonts w:ascii="Arial" w:cs="Arial" w:eastAsia="Arial" w:hAnsi="Arial"/>
          <w:i/>
          <w:iCs/>
          <w:color w:val="111111"/>
          <w:sz w:val="18"/>
          <w:szCs w:val="18"/>
        </w:rPr>
        <w:t xml:space="preserve">“Te paso la descripción de las variables de mi dataset. Proponeme un nombre claro y consistente para cada una, y escribime el código en pandas para renombrar las columnas y dejarlas ordenadas.”</w:t>
      </w:r>
    </w:p>
    <w:p>
      <w:pPr>
        <w:keepNext/>
        <w:keepLines/>
        <w:spacing w:after="50" w:before="120" w:line="262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2. Usá el chat a tu favor.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Preguntale cómo seguir, qué pasos hacer y si te estás olvidando de algo.</w:t>
      </w:r>
    </w:p>
    <w:p>
      <w:pPr>
        <w:keepLines/>
        <w:pBdr>
          <w:left w:val="single" w:color="A100FF" w:sz="12" w:space="8"/>
        </w:pBdr>
        <w:spacing w:after="60" w:line="250"/>
        <w:ind w:left="2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Ejemplo: </w:t>
      </w:r>
      <w:r>
        <w:rPr>
          <w:rFonts w:ascii="Arial" w:cs="Arial" w:eastAsia="Arial" w:hAnsi="Arial"/>
          <w:i/>
          <w:iCs/>
          <w:color w:val="111111"/>
          <w:sz w:val="18"/>
          <w:szCs w:val="18"/>
        </w:rPr>
        <w:t xml:space="preserve">“Esto es lo que hicimos hasta ahora: [...]. ¿Qué paso sigue? ¿Me estoy olvidando de algo?”</w:t>
      </w:r>
    </w:p>
    <w:p>
      <w:pPr>
        <w:keepNext/>
        <w:keepLines/>
        <w:spacing w:after="50" w:before="120" w:line="262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3. Dividan el chat por stream.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Cada frente (exploración, modelado y slides) abre su propio chat con Claude. Cuando un frente termina algo, le pide un resumen corto de lo que encontró o hizo y se lo pasa al siguiente.</w:t>
      </w:r>
    </w:p>
    <w:p>
      <w:pPr>
        <w:keepLines/>
        <w:pBdr>
          <w:left w:val="single" w:color="A100FF" w:sz="12" w:space="8"/>
        </w:pBdr>
        <w:spacing w:after="60" w:line="250"/>
        <w:ind w:left="2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Ejemplo: </w:t>
      </w:r>
      <w:r>
        <w:rPr>
          <w:rFonts w:ascii="Arial" w:cs="Arial" w:eastAsia="Arial" w:hAnsi="Arial"/>
          <w:i/>
          <w:iCs/>
          <w:color w:val="111111"/>
          <w:sz w:val="18"/>
          <w:szCs w:val="18"/>
        </w:rPr>
        <w:t xml:space="preserve">“Resumime en 5 líneas lo que encontramos, para pasárselo al equipo que arma el modelo.”</w:t>
      </w:r>
    </w:p>
    <w:p>
      <w:pPr>
        <w:keepNext/>
        <w:keepLines/>
        <w:spacing w:after="50" w:before="120" w:line="262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4. Dale el contexto completo desde el principio.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En el primer mensaje pegá la consigna y este archivo, y decile qué rol cumple.</w:t>
      </w:r>
    </w:p>
    <w:p>
      <w:pPr>
        <w:keepLines/>
        <w:pBdr>
          <w:left w:val="single" w:color="A100FF" w:sz="12" w:space="8"/>
        </w:pBdr>
        <w:spacing w:after="60" w:line="250"/>
        <w:ind w:left="2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Ejemplo: </w:t>
      </w:r>
      <w:r>
        <w:rPr>
          <w:rFonts w:ascii="Arial" w:cs="Arial" w:eastAsia="Arial" w:hAnsi="Arial"/>
          <w:i/>
          <w:iCs/>
          <w:color w:val="111111"/>
          <w:sz w:val="18"/>
          <w:szCs w:val="18"/>
        </w:rPr>
        <w:t xml:space="preserve">“Sos el analista de datos de mi equipo. Esta es la consigna y la descripción de los datos: [...]. Te voy a pedir ayuda paso a paso.”</w:t>
      </w:r>
    </w:p>
    <w:p>
      <w:pPr>
        <w:keepNext/>
        <w:keepLines/>
        <w:spacing w:after="50" w:before="120" w:line="262"/>
      </w:pPr>
      <w:r>
        <w:rPr>
          <w:rFonts w:ascii="Arial" w:cs="Arial" w:eastAsia="Arial" w:hAnsi="Arial"/>
          <w:b/>
          <w:bCs/>
          <w:color w:val="111111"/>
          <w:sz w:val="19"/>
          <w:szCs w:val="19"/>
        </w:rPr>
        <w:t xml:space="preserve">5. Armá las slides con una estructura.</w:t>
      </w:r>
      <w:r>
        <w:rPr>
          <w:rFonts w:ascii="Arial" w:cs="Arial" w:eastAsia="Arial" w:hAnsi="Arial"/>
          <w:color w:val="111111"/>
          <w:sz w:val="19"/>
          <w:szCs w:val="19"/>
        </w:rPr>
        <w:t xml:space="preserve"> Pedile que cada slide tenga un título que diga el insight (no el tema), un gráfico y una frase de cierre. Después, que ensaye con vos el pitch de 8 minutos.</w:t>
      </w:r>
    </w:p>
    <w:p>
      <w:pPr>
        <w:keepLines/>
        <w:pBdr>
          <w:left w:val="single" w:color="A100FF" w:sz="12" w:space="8"/>
        </w:pBdr>
        <w:spacing w:after="60" w:line="250"/>
        <w:ind w:left="24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Ejemplo: </w:t>
      </w:r>
      <w:r>
        <w:rPr>
          <w:rFonts w:ascii="Arial" w:cs="Arial" w:eastAsia="Arial" w:hAnsi="Arial"/>
          <w:i/>
          <w:iCs/>
          <w:color w:val="111111"/>
          <w:sz w:val="18"/>
          <w:szCs w:val="18"/>
        </w:rPr>
        <w:t xml:space="preserve">“Armame 3 slides: cada una con un título que diga la conclusión, un gráfico y una frase de cierre. Después hacé de público y hacime preguntas.”</w:t>
      </w:r>
    </w:p>
    <w:sectPr>
      <w:pgSz w:w="11906" w:h="16838" w:orient="portrait"/>
      <w:pgMar w:top="700" w:right="800" w:bottom="6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Metadata - Logística</dc:title>
  <dc:creator>Juan Costa</dc:creator>
  <cp:lastModifiedBy>Un-named</cp:lastModifiedBy>
  <cp:revision>1</cp:revision>
  <dcterms:created xsi:type="dcterms:W3CDTF">2026-10-26T22:56:48.250Z</dcterms:created>
  <dcterms:modified xsi:type="dcterms:W3CDTF">2026-10-26T22:56:48.251Z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