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Arial" w:cs="Arial" w:eastAsia="Arial" w:hAnsi="Arial"/>
          <w:b/>
          <w:bCs/>
          <w:color w:val="555555"/>
          <w:spacing w:val="30"/>
          <w:sz w:val="16"/>
          <w:szCs w:val="16"/>
        </w:rPr>
        <w:t xml:space="preserve">TIENDAS SUPER NIÑO</w:t>
      </w:r>
    </w:p>
    <w:p>
      <w:pPr>
        <w:pBdr>
          <w:bottom w:val="single" w:color="111111" w:sz="18" w:space="4"/>
        </w:pBdr>
        <w:spacing w:after="8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Metadata</w:t>
      </w:r>
      <w:r>
        <w:rPr>
          <w:rFonts w:ascii="Arial" w:cs="Arial" w:eastAsia="Arial" w:hAnsi="Arial"/>
          <w:b/>
          <w:bCs/>
          <w:color w:val="A100FF"/>
          <w:sz w:val="44"/>
          <w:szCs w:val="44"/>
        </w:rPr>
        <w:t xml:space="preserve">  ·  Marketing</w:t>
      </w:r>
    </w:p>
    <w:p>
      <w:pPr>
        <w:keepNext/>
        <w:spacing w:after="60" w:before="10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EL NEGOCIO</w:t>
      </w:r>
    </w:p>
    <w:p>
      <w:pPr>
        <w:spacing w:after="80" w:line="252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Tiendas Super Niño vende indumentaria de invierno a través de su tienda online. La compra tiene tres pasos: carrito, elección de envío y pago. Cuando un cliente deja el proceso sin comprar, el sistema registra un carrito abandonado.</w:t>
      </w:r>
    </w:p>
    <w:p>
      <w:pPr>
        <w:spacing w:after="80" w:line="252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La política de recupero se enfoca en los clientes recurrentes, los que ya compraron al menos dos veces. Muchos retoman la compra por su cuenta en los días siguientes, y otros no vuelven. Se considera que el cliente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no volvió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si no concretó una compra en las 72 horas posteriores al abandono.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CUÁNTO CUESTA UNA VENTA PERDIDA</w:t>
      </w:r>
    </w:p>
    <w:p>
      <w:pPr>
        <w:spacing w:after="80" w:line="252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Cada carrito que no se recupera es una venta que Super Niño no concreta: se pierde el margen que dejaba esa compra.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LA HERRAMIENTA DEL ÁREA</w:t>
      </w:r>
    </w:p>
    <w:p>
      <w:pPr>
        <w:spacing w:after="80" w:line="252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Marketing puede mandarle al cliente un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cupón de descuento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para intentar recuperar la compra. Se asume que el cupón recupera a todo cliente que de otro modo no hubiera vuelto. El cupón lo puede usar cualquiera que lo reciba, incluidos los clientes que igual iban a volver, y cada vez que se usa tiene un costo de descuento. El presupuesto fija un máximo de cupones por lote.</w:t>
      </w:r>
    </w:p>
    <w:p>
      <w:pPr>
        <w:spacing w:after="80" w:line="252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Hoy no se manda ningún cupón. En cada lote, el área tiene que decidir a cuáles de los clientes con carrito abandonado conviene mandárselo.</w:t>
      </w:r>
    </w:p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COSTOS Y LÍMITES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6"/>
        <w:gridCol w:w="3000"/>
      </w:tblGrid>
      <w:tr>
        <w:trPr>
          <w:cantSplit/>
          <w:tblHeader/>
        </w:trPr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20"/>
                <w:sz w:val="15"/>
                <w:szCs w:val="15"/>
              </w:rPr>
              <w:t xml:space="preserve">CONCEPTO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20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Margen que se pierde por cada carrito no recuperado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$9.000</w:t>
            </w:r>
          </w:p>
        </w:tc>
      </w:tr>
      <w:tr>
        <w:trPr>
          <w:cantSplit/>
        </w:trPr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Descuento del cupón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$1.500 por cupón usado</w:t>
            </w:r>
          </w:p>
        </w:tc>
      </w:tr>
      <w:tr>
        <w:trPr>
          <w:cantSplit/>
        </w:trPr>
        <w:tc>
          <w:tcPr>
            <w:tcW w:type="dxa" w:w="73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Presupuesto de cupones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90 cupones por lote</w:t>
            </w:r>
          </w:p>
        </w:tc>
      </w:tr>
    </w:tbl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LOS ARCHIVOS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06"/>
      </w:tblGrid>
      <w:tr>
        <w:trPr>
          <w:cantSplit/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20"/>
                <w:sz w:val="15"/>
                <w:szCs w:val="15"/>
              </w:rPr>
              <w:t xml:space="preserve">ARCHIVO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20"/>
                <w:sz w:val="15"/>
                <w:szCs w:val="15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historico.csv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Carritos abandonados pasados, con el resultado posterior del cliente (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nv_72h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casos_nuevos.csv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Carritos abandonados del lote actual. No incluye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nv_72h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111111"/>
          <w:spacing w:val="24"/>
          <w:sz w:val="16"/>
          <w:szCs w:val="16"/>
        </w:rPr>
        <w:t xml:space="preserve">LAS VARIABLES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806"/>
      </w:tblGrid>
      <w:tr>
        <w:trPr>
          <w:cantSplit/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20"/>
                <w:sz w:val="15"/>
                <w:szCs w:val="15"/>
              </w:rPr>
              <w:t xml:space="preserve">VARIABLE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pacing w:val="20"/>
                <w:sz w:val="15"/>
                <w:szCs w:val="15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ID_cli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Identificador del cliente.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TsAband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Fecha y hora del abandono del carrito (AAAA-MM-DD hh:mm:ss, hora de Argentina).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nCompras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Compras que el cliente hizo antes del abandono.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diasUC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Días desde su última compra hasta el abandono.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tkt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Valor del carrito abandonado, en pesos.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nSku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Cantidad de artículos distintos en el carrito.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etp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Paso en el que abandonó: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CAR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(carrito),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ENV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(elección de envío) o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PAG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(pago).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shipFee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Costo de envío que se le mostró, en pesos. 0 si el envío era gratis o si todavía no llegó a verlo.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dsp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Dispositivo: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mob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(celular, web),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dsk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(escritorio) o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app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mailOp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 si abrió algún mail de Super Niño en los 30 días previos.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prv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Origen del cliente: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CABA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GBA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INT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(interior).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ses7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Sesiones del cliente en la tienda online durante los 7 días previos al abandono.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cupN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Cupones que usó en compras anteriores.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sesPost72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Sesiones del cliente en la tienda online en las 72 horas posteriores al abandono.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mailRem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 si abrió el mail recordatorio que se envía a las 24 horas.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csCtc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 si el cliente contactó a atención al cliente después del abandono.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Consolas" w:cs="Consolas" w:eastAsia="Consolas" w:hAnsi="Consolas"/>
                <w:color w:val="111111"/>
                <w:sz w:val="18"/>
                <w:szCs w:val="18"/>
              </w:rPr>
              <w:t xml:space="preserve">nv_72h</w:t>
            </w:r>
          </w:p>
        </w:tc>
        <w:tc>
          <w:tcPr>
            <w:tcW w:type="dxa" w:w="88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line="244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 si el cliente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 volvió a comprar en las 72 horas siguientes, 0 si volvió.</w:t>
            </w:r>
          </w:p>
        </w:tc>
      </w:tr>
    </w:tbl>
    <w:p>
      <w:pPr>
        <w:keepNext/>
        <w:pageBreakBefore/>
        <w:pBdr>
          <w:bottom w:val="single" w:color="111111" w:sz="18" w:space="4"/>
        </w:pBdr>
        <w:spacing w:after="100" w:before="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Pistas para trabajar con Claude</w:t>
      </w:r>
    </w:p>
    <w:p>
      <w:pPr>
        <w:keepNext/>
        <w:keepLines/>
        <w:spacing w:after="50" w:before="120" w:line="26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1. Ordená las variables antes de empezar.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Pasale a Claude la descripción de las variables de este archivo y pedile que, en función de esa descripción, te ordene los datos y escriba bien los nombres de las variables: nombres claros, consistentes y en el mismo formato. Después usá esos nombres en todo el trabajo.</w:t>
      </w:r>
    </w:p>
    <w:p>
      <w:pPr>
        <w:keepLines/>
        <w:pBdr>
          <w:left w:val="single" w:color="A100FF" w:sz="12" w:space="8"/>
        </w:pBdr>
        <w:spacing w:after="60" w:line="250"/>
        <w:ind w:left="2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Ejemplo: </w:t>
      </w:r>
      <w:r>
        <w:rPr>
          <w:rFonts w:ascii="Arial" w:cs="Arial" w:eastAsia="Arial" w:hAnsi="Arial"/>
          <w:i/>
          <w:iCs/>
          <w:color w:val="111111"/>
          <w:sz w:val="18"/>
          <w:szCs w:val="18"/>
        </w:rPr>
        <w:t xml:space="preserve">“Te paso la descripción de las variables de mi dataset. Proponeme un nombre claro y consistente para cada una, y escribime el código en pandas para renombrar las columnas y dejarlas ordenadas.”</w:t>
      </w:r>
    </w:p>
    <w:p>
      <w:pPr>
        <w:keepNext/>
        <w:keepLines/>
        <w:spacing w:after="50" w:before="120" w:line="26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2. Usá el chat a tu favor.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Preguntale cómo seguir, qué pasos hacer y si te estás olvidando de algo.</w:t>
      </w:r>
    </w:p>
    <w:p>
      <w:pPr>
        <w:keepLines/>
        <w:pBdr>
          <w:left w:val="single" w:color="A100FF" w:sz="12" w:space="8"/>
        </w:pBdr>
        <w:spacing w:after="60" w:line="250"/>
        <w:ind w:left="2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Ejemplo: </w:t>
      </w:r>
      <w:r>
        <w:rPr>
          <w:rFonts w:ascii="Arial" w:cs="Arial" w:eastAsia="Arial" w:hAnsi="Arial"/>
          <w:i/>
          <w:iCs/>
          <w:color w:val="111111"/>
          <w:sz w:val="18"/>
          <w:szCs w:val="18"/>
        </w:rPr>
        <w:t xml:space="preserve">“Esto es lo que hicimos hasta ahora: [...]. ¿Qué paso sigue? ¿Me estoy olvidando de algo?”</w:t>
      </w:r>
    </w:p>
    <w:p>
      <w:pPr>
        <w:keepNext/>
        <w:keepLines/>
        <w:spacing w:after="50" w:before="120" w:line="26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3. Dividan el chat por stream.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Cada frente (exploración, modelado y slides) abre su propio chat con Claude. Cuando un frente termina algo, le pide un resumen corto de lo que encontró o hizo y se lo pasa al siguiente.</w:t>
      </w:r>
    </w:p>
    <w:p>
      <w:pPr>
        <w:keepLines/>
        <w:pBdr>
          <w:left w:val="single" w:color="A100FF" w:sz="12" w:space="8"/>
        </w:pBdr>
        <w:spacing w:after="60" w:line="250"/>
        <w:ind w:left="2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Ejemplo: </w:t>
      </w:r>
      <w:r>
        <w:rPr>
          <w:rFonts w:ascii="Arial" w:cs="Arial" w:eastAsia="Arial" w:hAnsi="Arial"/>
          <w:i/>
          <w:iCs/>
          <w:color w:val="111111"/>
          <w:sz w:val="18"/>
          <w:szCs w:val="18"/>
        </w:rPr>
        <w:t xml:space="preserve">“Resumime en 5 líneas lo que encontramos, para pasárselo al equipo que arma el modelo.”</w:t>
      </w:r>
    </w:p>
    <w:p>
      <w:pPr>
        <w:keepNext/>
        <w:keepLines/>
        <w:spacing w:after="50" w:before="120" w:line="26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4. Dale el contexto completo desde el principio.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En el primer mensaje pegá la consigna y este archivo, y decile qué rol cumple.</w:t>
      </w:r>
    </w:p>
    <w:p>
      <w:pPr>
        <w:keepLines/>
        <w:pBdr>
          <w:left w:val="single" w:color="A100FF" w:sz="12" w:space="8"/>
        </w:pBdr>
        <w:spacing w:after="60" w:line="250"/>
        <w:ind w:left="2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Ejemplo: </w:t>
      </w:r>
      <w:r>
        <w:rPr>
          <w:rFonts w:ascii="Arial" w:cs="Arial" w:eastAsia="Arial" w:hAnsi="Arial"/>
          <w:i/>
          <w:iCs/>
          <w:color w:val="111111"/>
          <w:sz w:val="18"/>
          <w:szCs w:val="18"/>
        </w:rPr>
        <w:t xml:space="preserve">“Sos el analista de datos de mi equipo. Esta es la consigna y la descripción de los datos: [...]. Te voy a pedir ayuda paso a paso.”</w:t>
      </w:r>
    </w:p>
    <w:p>
      <w:pPr>
        <w:keepNext/>
        <w:keepLines/>
        <w:spacing w:after="50" w:before="120" w:line="26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5. Armá las slides con una estructura.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Pedile que cada slide tenga un título que diga el insight (no el tema), un gráfico y una frase de cierre. Después, que ensaye con vos el pitch de 8 minutos.</w:t>
      </w:r>
    </w:p>
    <w:p>
      <w:pPr>
        <w:keepLines/>
        <w:pBdr>
          <w:left w:val="single" w:color="A100FF" w:sz="12" w:space="8"/>
        </w:pBdr>
        <w:spacing w:after="60" w:line="250"/>
        <w:ind w:left="2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Ejemplo: </w:t>
      </w:r>
      <w:r>
        <w:rPr>
          <w:rFonts w:ascii="Arial" w:cs="Arial" w:eastAsia="Arial" w:hAnsi="Arial"/>
          <w:i/>
          <w:iCs/>
          <w:color w:val="111111"/>
          <w:sz w:val="18"/>
          <w:szCs w:val="18"/>
        </w:rPr>
        <w:t xml:space="preserve">“Armame 3 slides: cada una con un título que diga la conclusión, un gráfico y una frase de cierre. Después hacé de público y hacime preguntas.”</w:t>
      </w:r>
    </w:p>
    <w:sectPr>
      <w:pgSz w:w="11906" w:h="16838" w:orient="portrait"/>
      <w:pgMar w:top="700" w:right="800" w:bottom="6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Metadata - Marketing</dc:title>
  <dc:creator>Juan Costa</dc:creator>
  <cp:lastModifiedBy>Un-named</cp:lastModifiedBy>
  <cp:revision>1</cp:revision>
  <dcterms:created xsi:type="dcterms:W3CDTF">2026-10-26T22:29:59.235Z</dcterms:created>
  <dcterms:modified xsi:type="dcterms:W3CDTF">2026-10-26T22:29:59.236Z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