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pPr>
      <w:r>
        <w:rPr>
          <w:rFonts w:ascii="Arial" w:cs="Arial" w:eastAsia="Arial" w:hAnsi="Arial"/>
          <w:b/>
          <w:bCs/>
          <w:color w:val="555555"/>
          <w:spacing w:val="30"/>
          <w:sz w:val="16"/>
          <w:szCs w:val="16"/>
        </w:rPr>
        <w:t xml:space="preserve">TIENDAS SUPER NIÑO</w:t>
      </w:r>
    </w:p>
    <w:p>
      <w:pPr>
        <w:pBdr>
          <w:bottom w:val="single" w:color="111111" w:sz="18" w:space="4"/>
        </w:pBdr>
        <w:spacing w:after="80"/>
      </w:pPr>
      <w:r>
        <w:rPr>
          <w:rFonts w:ascii="Arial" w:cs="Arial" w:eastAsia="Arial" w:hAnsi="Arial"/>
          <w:b/>
          <w:bCs/>
          <w:color w:val="111111"/>
          <w:sz w:val="44"/>
          <w:szCs w:val="44"/>
        </w:rPr>
        <w:t xml:space="preserve">Metadata</w:t>
      </w:r>
      <w:r>
        <w:rPr>
          <w:rFonts w:ascii="Arial" w:cs="Arial" w:eastAsia="Arial" w:hAnsi="Arial"/>
          <w:b/>
          <w:bCs/>
          <w:color w:val="A100FF"/>
          <w:sz w:val="44"/>
          <w:szCs w:val="44"/>
        </w:rPr>
        <w:t xml:space="preserve">  ·  Marketing</w:t>
      </w:r>
    </w:p>
    <w:p>
      <w:pPr>
        <w:keepNext/>
        <w:spacing w:after="60" w:before="100"/>
      </w:pPr>
      <w:r>
        <w:rPr>
          <w:rFonts w:ascii="Arial" w:cs="Arial" w:eastAsia="Arial" w:hAnsi="Arial"/>
          <w:b/>
          <w:bCs/>
          <w:color w:val="111111"/>
          <w:spacing w:val="24"/>
          <w:sz w:val="16"/>
          <w:szCs w:val="16"/>
        </w:rPr>
        <w:t xml:space="preserve">EL NEGOCIO</w:t>
      </w:r>
    </w:p>
    <w:p>
      <w:pPr>
        <w:spacing w:after="80" w:line="252"/>
      </w:pPr>
      <w:r>
        <w:rPr>
          <w:rFonts w:ascii="Arial" w:cs="Arial" w:eastAsia="Arial" w:hAnsi="Arial"/>
          <w:color w:val="111111"/>
          <w:sz w:val="19"/>
          <w:szCs w:val="19"/>
        </w:rPr>
        <w:t xml:space="preserve">Tiendas Super Niño vende indumentaria de invierno a través de su tienda online. La compra tiene tres pasos: carrito, elección de envío y pago. Cuando un cliente deja el proceso sin comprar, el sistema registra un carrito abandonado.</w:t>
      </w:r>
    </w:p>
    <w:p>
      <w:pPr>
        <w:spacing w:after="80" w:line="252"/>
      </w:pPr>
      <w:r>
        <w:rPr>
          <w:rFonts w:ascii="Arial" w:cs="Arial" w:eastAsia="Arial" w:hAnsi="Arial"/>
          <w:color w:val="111111"/>
          <w:sz w:val="19"/>
          <w:szCs w:val="19"/>
        </w:rPr>
        <w:t xml:space="preserve">La política de recupero se enfoca en los clientes recurrentes, los que ya compraron al menos dos veces. Muchos retoman la compra por su cuenta en los días siguientes, y otros no vuelven. Se considera que el cliente </w:t>
      </w:r>
      <w:r>
        <w:rPr>
          <w:rFonts w:ascii="Arial" w:cs="Arial" w:eastAsia="Arial" w:hAnsi="Arial"/>
          <w:b/>
          <w:bCs/>
          <w:color w:val="111111"/>
          <w:sz w:val="19"/>
          <w:szCs w:val="19"/>
        </w:rPr>
        <w:t xml:space="preserve">no volvió</w:t>
      </w:r>
      <w:r>
        <w:rPr>
          <w:rFonts w:ascii="Arial" w:cs="Arial" w:eastAsia="Arial" w:hAnsi="Arial"/>
          <w:color w:val="111111"/>
          <w:sz w:val="19"/>
          <w:szCs w:val="19"/>
        </w:rPr>
        <w:t xml:space="preserve"> si no concretó una compra en las 72 horas posteriores al abandono.</w:t>
      </w:r>
    </w:p>
    <w:p>
      <w:pPr>
        <w:keepNext/>
        <w:spacing w:after="60" w:before="150"/>
      </w:pPr>
      <w:r>
        <w:rPr>
          <w:rFonts w:ascii="Arial" w:cs="Arial" w:eastAsia="Arial" w:hAnsi="Arial"/>
          <w:b/>
          <w:bCs/>
          <w:color w:val="111111"/>
          <w:spacing w:val="24"/>
          <w:sz w:val="16"/>
          <w:szCs w:val="16"/>
        </w:rPr>
        <w:t xml:space="preserve">CUÁNTO CUESTA UNA VENTA PERDIDA</w:t>
      </w:r>
    </w:p>
    <w:p>
      <w:pPr>
        <w:spacing w:after="80" w:line="252"/>
      </w:pPr>
      <w:r>
        <w:rPr>
          <w:rFonts w:ascii="Arial" w:cs="Arial" w:eastAsia="Arial" w:hAnsi="Arial"/>
          <w:color w:val="111111"/>
          <w:sz w:val="19"/>
          <w:szCs w:val="19"/>
        </w:rPr>
        <w:t xml:space="preserve">Cada carrito que no se recupera es una venta que Super Niño no concreta: se pierde el margen que dejaba esa compra.</w:t>
      </w:r>
    </w:p>
    <w:p>
      <w:pPr>
        <w:keepNext/>
        <w:spacing w:after="60" w:before="150"/>
      </w:pPr>
      <w:r>
        <w:rPr>
          <w:rFonts w:ascii="Arial" w:cs="Arial" w:eastAsia="Arial" w:hAnsi="Arial"/>
          <w:b/>
          <w:bCs/>
          <w:color w:val="111111"/>
          <w:spacing w:val="24"/>
          <w:sz w:val="16"/>
          <w:szCs w:val="16"/>
        </w:rPr>
        <w:t xml:space="preserve">LA HERRAMIENTA DEL ÁREA</w:t>
      </w:r>
    </w:p>
    <w:p>
      <w:pPr>
        <w:spacing w:after="80" w:line="252"/>
      </w:pPr>
      <w:r>
        <w:rPr>
          <w:rFonts w:ascii="Arial" w:cs="Arial" w:eastAsia="Arial" w:hAnsi="Arial"/>
          <w:color w:val="111111"/>
          <w:sz w:val="19"/>
          <w:szCs w:val="19"/>
        </w:rPr>
        <w:t xml:space="preserve">Marketing puede mandarle al cliente un </w:t>
      </w:r>
      <w:r>
        <w:rPr>
          <w:rFonts w:ascii="Arial" w:cs="Arial" w:eastAsia="Arial" w:hAnsi="Arial"/>
          <w:b/>
          <w:bCs/>
          <w:color w:val="111111"/>
          <w:sz w:val="19"/>
          <w:szCs w:val="19"/>
        </w:rPr>
        <w:t xml:space="preserve">cupón de descuento</w:t>
      </w:r>
      <w:r>
        <w:rPr>
          <w:rFonts w:ascii="Arial" w:cs="Arial" w:eastAsia="Arial" w:hAnsi="Arial"/>
          <w:color w:val="111111"/>
          <w:sz w:val="19"/>
          <w:szCs w:val="19"/>
        </w:rPr>
        <w:t xml:space="preserve"> para intentar recuperar la compra. Se asume que el cupón recupera a todo cliente que de otro modo no hubiera vuelto. El cupón lo puede usar cualquiera que lo reciba, incluidos los clientes que igual iban a volver, y cada vez que se usa tiene un costo de descuento. El presupuesto fija un máximo de cupones por lote.</w:t>
      </w:r>
    </w:p>
    <w:p>
      <w:pPr>
        <w:spacing w:after="80" w:line="252"/>
      </w:pPr>
      <w:r>
        <w:rPr>
          <w:rFonts w:ascii="Arial" w:cs="Arial" w:eastAsia="Arial" w:hAnsi="Arial"/>
          <w:color w:val="111111"/>
          <w:sz w:val="19"/>
          <w:szCs w:val="19"/>
        </w:rPr>
        <w:t xml:space="preserve">Hoy no se manda ningún cupón. En cada lote, el área tiene que decidir a cuáles de los clientes con carrito abandonado conviene mandárselo.</w:t>
      </w:r>
    </w:p>
    <w:p>
      <w:pPr>
        <w:keepNext/>
        <w:spacing w:after="60" w:before="150"/>
      </w:pPr>
      <w:r>
        <w:rPr>
          <w:rFonts w:ascii="Arial" w:cs="Arial" w:eastAsia="Arial" w:hAnsi="Arial"/>
          <w:b/>
          <w:bCs/>
          <w:color w:val="111111"/>
          <w:spacing w:val="24"/>
          <w:sz w:val="16"/>
          <w:szCs w:val="16"/>
        </w:rPr>
        <w:t xml:space="preserve">EL PRESUPUESTO DE CUPONES</w:t>
      </w:r>
    </w:p>
    <w:p>
      <w:pPr>
        <w:spacing w:after="80" w:line="252"/>
      </w:pPr>
      <w:r>
        <w:rPr>
          <w:rFonts w:ascii="Arial" w:cs="Arial" w:eastAsia="Arial" w:hAnsi="Arial"/>
          <w:color w:val="111111"/>
          <w:sz w:val="19"/>
          <w:szCs w:val="19"/>
        </w:rPr>
        <w:t xml:space="preserve">El presupuesto de Marketing fija un máximo de 90 cupones por lote. Es un límite del negocio y se aplica al lote completo: solo se pueden mandar 90 cupones en total, aunque haya más clientes en riesgo. Los clientes que no reciben cupón quedan sin ninguna acción. Los carritos de </w:t>
      </w:r>
      <w:r>
        <w:rPr>
          <w:rFonts w:ascii="Consolas" w:cs="Consolas" w:eastAsia="Consolas" w:hAnsi="Consolas"/>
          <w:color w:val="111111"/>
          <w:sz w:val="18"/>
          <w:szCs w:val="18"/>
        </w:rPr>
        <w:t xml:space="preserve">casos_nuevos.csv</w:t>
      </w:r>
      <w:r>
        <w:rPr>
          <w:rFonts w:ascii="Arial" w:cs="Arial" w:eastAsia="Arial" w:hAnsi="Arial"/>
          <w:color w:val="111111"/>
          <w:sz w:val="19"/>
          <w:szCs w:val="19"/>
        </w:rPr>
        <w:t xml:space="preserve"> forman un lote.</w:t>
      </w:r>
    </w:p>
    <w:p>
      <w:pPr>
        <w:keepNext/>
        <w:spacing w:after="60" w:before="150"/>
      </w:pPr>
      <w:r>
        <w:rPr>
          <w:rFonts w:ascii="Arial" w:cs="Arial" w:eastAsia="Arial" w:hAnsi="Arial"/>
          <w:b/>
          <w:bCs/>
          <w:color w:val="111111"/>
          <w:spacing w:val="24"/>
          <w:sz w:val="16"/>
          <w:szCs w:val="16"/>
        </w:rPr>
        <w:t xml:space="preserve">COSTOS Y LÍMITES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306"/>
        <w:gridCol w:w="3000"/>
      </w:tblGrid>
      <w:tr>
        <w:trPr>
          <w:cantSplit/>
          <w:tblHeader/>
        </w:trPr>
        <w:tc>
          <w:tcPr>
            <w:tcW w:type="dxa" w:w="7306"/>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CONCEPTO</w:t>
            </w:r>
          </w:p>
        </w:tc>
        <w:tc>
          <w:tcPr>
            <w:tcW w:type="dxa" w:w="3000"/>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VALOR</w:t>
            </w:r>
          </w:p>
        </w:tc>
      </w:tr>
      <w:tr>
        <w:trPr>
          <w:cantSplit/>
        </w:trPr>
        <w:tc>
          <w:tcPr>
            <w:tcW w:type="dxa" w:w="73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Margen que se pierde por cada carrito no recuperado</w:t>
            </w:r>
          </w:p>
        </w:tc>
        <w:tc>
          <w:tcPr>
            <w:tcW w:type="dxa" w:w="30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$9.000</w:t>
            </w:r>
          </w:p>
        </w:tc>
      </w:tr>
      <w:tr>
        <w:trPr>
          <w:cantSplit/>
        </w:trPr>
        <w:tc>
          <w:tcPr>
            <w:tcW w:type="dxa" w:w="73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Descuento del cupón</w:t>
            </w:r>
          </w:p>
        </w:tc>
        <w:tc>
          <w:tcPr>
            <w:tcW w:type="dxa" w:w="30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$1.500 por cupón usado</w:t>
            </w:r>
          </w:p>
        </w:tc>
      </w:tr>
      <w:tr>
        <w:trPr>
          <w:cantSplit/>
        </w:trPr>
        <w:tc>
          <w:tcPr>
            <w:tcW w:type="dxa" w:w="73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Presupuesto de cupones</w:t>
            </w:r>
          </w:p>
        </w:tc>
        <w:tc>
          <w:tcPr>
            <w:tcW w:type="dxa" w:w="30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90 cupones por lote</w:t>
            </w:r>
          </w:p>
        </w:tc>
      </w:tr>
    </w:tbl>
    <w:p>
      <w:pPr>
        <w:keepNext/>
        <w:spacing w:after="60" w:before="150"/>
      </w:pPr>
      <w:r>
        <w:rPr>
          <w:rFonts w:ascii="Arial" w:cs="Arial" w:eastAsia="Arial" w:hAnsi="Arial"/>
          <w:b/>
          <w:bCs/>
          <w:color w:val="111111"/>
          <w:spacing w:val="24"/>
          <w:sz w:val="16"/>
          <w:szCs w:val="16"/>
        </w:rPr>
        <w:t xml:space="preserve">LOS ARCHIVOS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blHeader/>
        </w:trPr>
        <w:tc>
          <w:tcPr>
            <w:tcW w:type="dxa" w:w="2200"/>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ARCHIVO</w:t>
            </w:r>
          </w:p>
        </w:tc>
        <w:tc>
          <w:tcPr>
            <w:tcW w:type="dxa" w:w="8106"/>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QUÉ ES</w:t>
            </w:r>
          </w:p>
        </w:tc>
      </w:tr>
      <w:tr>
        <w:trPr>
          <w:cantSplit/>
        </w:trPr>
        <w:tc>
          <w:tcPr>
            <w:tcW w:type="dxa" w:w="22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historico.csv</w:t>
            </w:r>
          </w:p>
        </w:tc>
        <w:tc>
          <w:tcPr>
            <w:tcW w:type="dxa" w:w="81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Carritos abandonados pasados, con el resultado posterior del cliente (</w:t>
            </w:r>
            <w:r>
              <w:rPr>
                <w:rFonts w:ascii="Consolas" w:cs="Consolas" w:eastAsia="Consolas" w:hAnsi="Consolas"/>
                <w:color w:val="111111"/>
                <w:sz w:val="18"/>
                <w:szCs w:val="18"/>
              </w:rPr>
              <w:t xml:space="preserve">nv_72h</w:t>
            </w:r>
            <w:r>
              <w:rPr>
                <w:rFonts w:ascii="Arial" w:cs="Arial" w:eastAsia="Arial" w:hAnsi="Arial"/>
                <w:color w:val="111111"/>
                <w:sz w:val="19"/>
                <w:szCs w:val="19"/>
              </w:rPr>
              <w:t xml:space="preserve">).</w:t>
            </w:r>
          </w:p>
        </w:tc>
      </w:tr>
      <w:tr>
        <w:trPr>
          <w:cantSplit/>
        </w:trPr>
        <w:tc>
          <w:tcPr>
            <w:tcW w:type="dxa" w:w="22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casos_nuevos.csv</w:t>
            </w:r>
          </w:p>
        </w:tc>
        <w:tc>
          <w:tcPr>
            <w:tcW w:type="dxa" w:w="81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Carritos abandonados del lote actual. No incluye </w:t>
            </w:r>
            <w:r>
              <w:rPr>
                <w:rFonts w:ascii="Consolas" w:cs="Consolas" w:eastAsia="Consolas" w:hAnsi="Consolas"/>
                <w:color w:val="111111"/>
                <w:sz w:val="18"/>
                <w:szCs w:val="18"/>
              </w:rPr>
              <w:t xml:space="preserve">nv_72h</w:t>
            </w:r>
            <w:r>
              <w:rPr>
                <w:rFonts w:ascii="Arial" w:cs="Arial" w:eastAsia="Arial" w:hAnsi="Arial"/>
                <w:color w:val="111111"/>
                <w:sz w:val="19"/>
                <w:szCs w:val="19"/>
              </w:rPr>
              <w:t xml:space="preserve">.</w:t>
            </w:r>
          </w:p>
        </w:tc>
      </w:tr>
    </w:tbl>
    <w:p>
      <w:pPr>
        <w:keepNext/>
        <w:spacing w:after="60" w:before="150"/>
      </w:pPr>
      <w:r>
        <w:rPr>
          <w:rFonts w:ascii="Arial" w:cs="Arial" w:eastAsia="Arial" w:hAnsi="Arial"/>
          <w:b/>
          <w:bCs/>
          <w:color w:val="111111"/>
          <w:spacing w:val="24"/>
          <w:sz w:val="16"/>
          <w:szCs w:val="16"/>
        </w:rPr>
        <w:t xml:space="preserve">LAS VARIABLES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8806"/>
      </w:tblGrid>
      <w:tr>
        <w:trPr>
          <w:cantSplit/>
          <w:tblHeader/>
        </w:trPr>
        <w:tc>
          <w:tcPr>
            <w:tcW w:type="dxa" w:w="1500"/>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VARIABLE</w:t>
            </w:r>
          </w:p>
        </w:tc>
        <w:tc>
          <w:tcPr>
            <w:tcW w:type="dxa" w:w="8806"/>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DESCRIPCIÓN</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ID_cli</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Identificador del cliente.</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TsAband</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Fecha y hora del abandono del carrito (AAAA-MM-DD hh:mm:ss, hora de Argentina).</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nCompras</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Compras que el cliente hizo antes del abandono.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diasUC</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Días desde su última compra hasta el abandono.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tkt</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Valor del carrito abandonado, en pesos.</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nSku</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Cantidad de artículos distintos en el carrito.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etp</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Paso en el que abandonó: </w:t>
            </w:r>
            <w:r>
              <w:rPr>
                <w:rFonts w:ascii="Consolas" w:cs="Consolas" w:eastAsia="Consolas" w:hAnsi="Consolas"/>
                <w:color w:val="111111"/>
                <w:sz w:val="18"/>
                <w:szCs w:val="18"/>
              </w:rPr>
              <w:t xml:space="preserve">CAR</w:t>
            </w:r>
            <w:r>
              <w:rPr>
                <w:rFonts w:ascii="Arial" w:cs="Arial" w:eastAsia="Arial" w:hAnsi="Arial"/>
                <w:color w:val="111111"/>
                <w:sz w:val="19"/>
                <w:szCs w:val="19"/>
              </w:rPr>
              <w:t xml:space="preserve"> (carrito), </w:t>
            </w:r>
            <w:r>
              <w:rPr>
                <w:rFonts w:ascii="Consolas" w:cs="Consolas" w:eastAsia="Consolas" w:hAnsi="Consolas"/>
                <w:color w:val="111111"/>
                <w:sz w:val="18"/>
                <w:szCs w:val="18"/>
              </w:rPr>
              <w:t xml:space="preserve">ENV</w:t>
            </w:r>
            <w:r>
              <w:rPr>
                <w:rFonts w:ascii="Arial" w:cs="Arial" w:eastAsia="Arial" w:hAnsi="Arial"/>
                <w:color w:val="111111"/>
                <w:sz w:val="19"/>
                <w:szCs w:val="19"/>
              </w:rPr>
              <w:t xml:space="preserve"> (elección de envío) o </w:t>
            </w:r>
            <w:r>
              <w:rPr>
                <w:rFonts w:ascii="Consolas" w:cs="Consolas" w:eastAsia="Consolas" w:hAnsi="Consolas"/>
                <w:color w:val="111111"/>
                <w:sz w:val="18"/>
                <w:szCs w:val="18"/>
              </w:rPr>
              <w:t xml:space="preserve">PAG</w:t>
            </w:r>
            <w:r>
              <w:rPr>
                <w:rFonts w:ascii="Arial" w:cs="Arial" w:eastAsia="Arial" w:hAnsi="Arial"/>
                <w:color w:val="111111"/>
                <w:sz w:val="19"/>
                <w:szCs w:val="19"/>
              </w:rPr>
              <w:t xml:space="preserve"> (pago).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shipFee</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Costo de envío que se le mostró, en pesos. 0 si el envío era gratis o si todavía no llegó a verlo.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dsp</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Dispositivo: </w:t>
            </w:r>
            <w:r>
              <w:rPr>
                <w:rFonts w:ascii="Consolas" w:cs="Consolas" w:eastAsia="Consolas" w:hAnsi="Consolas"/>
                <w:color w:val="111111"/>
                <w:sz w:val="18"/>
                <w:szCs w:val="18"/>
              </w:rPr>
              <w:t xml:space="preserve">mob</w:t>
            </w:r>
            <w:r>
              <w:rPr>
                <w:rFonts w:ascii="Arial" w:cs="Arial" w:eastAsia="Arial" w:hAnsi="Arial"/>
                <w:color w:val="111111"/>
                <w:sz w:val="19"/>
                <w:szCs w:val="19"/>
              </w:rPr>
              <w:t xml:space="preserve"> (celular, web), </w:t>
            </w:r>
            <w:r>
              <w:rPr>
                <w:rFonts w:ascii="Consolas" w:cs="Consolas" w:eastAsia="Consolas" w:hAnsi="Consolas"/>
                <w:color w:val="111111"/>
                <w:sz w:val="18"/>
                <w:szCs w:val="18"/>
              </w:rPr>
              <w:t xml:space="preserve">dsk</w:t>
            </w:r>
            <w:r>
              <w:rPr>
                <w:rFonts w:ascii="Arial" w:cs="Arial" w:eastAsia="Arial" w:hAnsi="Arial"/>
                <w:color w:val="111111"/>
                <w:sz w:val="19"/>
                <w:szCs w:val="19"/>
              </w:rPr>
              <w:t xml:space="preserve"> (escritorio) o </w:t>
            </w:r>
            <w:r>
              <w:rPr>
                <w:rFonts w:ascii="Consolas" w:cs="Consolas" w:eastAsia="Consolas" w:hAnsi="Consolas"/>
                <w:color w:val="111111"/>
                <w:sz w:val="18"/>
                <w:szCs w:val="18"/>
              </w:rPr>
              <w:t xml:space="preserve">app</w:t>
            </w:r>
            <w:r>
              <w:rPr>
                <w:rFonts w:ascii="Arial" w:cs="Arial" w:eastAsia="Arial" w:hAnsi="Arial"/>
                <w:color w:val="111111"/>
                <w:sz w:val="19"/>
                <w:szCs w:val="19"/>
              </w:rPr>
              <w:t xml:space="preserve">.</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mailOp</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 si abrió algún mail de Super Niño en los 30 días previos.</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prv</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Origen del cliente: </w:t>
            </w:r>
            <w:r>
              <w:rPr>
                <w:rFonts w:ascii="Consolas" w:cs="Consolas" w:eastAsia="Consolas" w:hAnsi="Consolas"/>
                <w:color w:val="111111"/>
                <w:sz w:val="18"/>
                <w:szCs w:val="18"/>
              </w:rPr>
              <w:t xml:space="preserve">CABA</w:t>
            </w:r>
            <w:r>
              <w:rPr>
                <w:rFonts w:ascii="Arial" w:cs="Arial" w:eastAsia="Arial" w:hAnsi="Arial"/>
                <w:color w:val="111111"/>
                <w:sz w:val="19"/>
                <w:szCs w:val="19"/>
              </w:rPr>
              <w:t xml:space="preserve">, </w:t>
            </w:r>
            <w:r>
              <w:rPr>
                <w:rFonts w:ascii="Consolas" w:cs="Consolas" w:eastAsia="Consolas" w:hAnsi="Consolas"/>
                <w:color w:val="111111"/>
                <w:sz w:val="18"/>
                <w:szCs w:val="18"/>
              </w:rPr>
              <w:t xml:space="preserve">GBA</w:t>
            </w:r>
            <w:r>
              <w:rPr>
                <w:rFonts w:ascii="Arial" w:cs="Arial" w:eastAsia="Arial" w:hAnsi="Arial"/>
                <w:color w:val="111111"/>
                <w:sz w:val="19"/>
                <w:szCs w:val="19"/>
              </w:rPr>
              <w:t xml:space="preserve"> o </w:t>
            </w:r>
            <w:r>
              <w:rPr>
                <w:rFonts w:ascii="Consolas" w:cs="Consolas" w:eastAsia="Consolas" w:hAnsi="Consolas"/>
                <w:color w:val="111111"/>
                <w:sz w:val="18"/>
                <w:szCs w:val="18"/>
              </w:rPr>
              <w:t xml:space="preserve">INT</w:t>
            </w:r>
            <w:r>
              <w:rPr>
                <w:rFonts w:ascii="Arial" w:cs="Arial" w:eastAsia="Arial" w:hAnsi="Arial"/>
                <w:color w:val="111111"/>
                <w:sz w:val="19"/>
                <w:szCs w:val="19"/>
              </w:rPr>
              <w:t xml:space="preserve"> (interior).</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ses7</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Sesiones del cliente en la tienda online durante los 7 días previos al abandono.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cupN</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Cupones que usó en compras anteriores.</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sesPost72</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Sesiones del cliente en la tienda online en las 72 horas posteriores al abandono.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mailRem</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 si abrió el mail recordatorio que se envía a las 24 horas.</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csCtc</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 si el cliente contactó a atención al cliente después del abandono.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nv_72h</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 si el cliente </w:t>
            </w:r>
            <w:r>
              <w:rPr>
                <w:rFonts w:ascii="Arial" w:cs="Arial" w:eastAsia="Arial" w:hAnsi="Arial"/>
                <w:b/>
                <w:bCs/>
                <w:color w:val="111111"/>
                <w:sz w:val="19"/>
                <w:szCs w:val="19"/>
              </w:rPr>
              <w:t xml:space="preserve">no</w:t>
            </w:r>
            <w:r>
              <w:rPr>
                <w:rFonts w:ascii="Arial" w:cs="Arial" w:eastAsia="Arial" w:hAnsi="Arial"/>
                <w:color w:val="111111"/>
                <w:sz w:val="19"/>
                <w:szCs w:val="19"/>
              </w:rPr>
              <w:t xml:space="preserve"> volvió a comprar en las 72 horas siguientes, 0 si volvió.</w:t>
            </w:r>
          </w:p>
        </w:tc>
      </w:tr>
    </w:tbl>
    <w:p>
      <w:pPr>
        <w:keepNext/>
        <w:pageBreakBefore/>
        <w:pBdr>
          <w:bottom w:val="single" w:color="111111" w:sz="18" w:space="4"/>
        </w:pBdr>
        <w:spacing w:after="100" w:before="0"/>
      </w:pPr>
      <w:r>
        <w:rPr>
          <w:rFonts w:ascii="Arial" w:cs="Arial" w:eastAsia="Arial" w:hAnsi="Arial"/>
          <w:b/>
          <w:bCs/>
          <w:color w:val="111111"/>
          <w:sz w:val="36"/>
          <w:szCs w:val="36"/>
        </w:rPr>
        <w:t xml:space="preserve">Pistas para trabajar con Claude</w:t>
      </w:r>
    </w:p>
    <w:p>
      <w:pPr>
        <w:keepNext/>
        <w:keepLines/>
        <w:spacing w:after="50" w:before="120" w:line="262"/>
      </w:pPr>
      <w:r>
        <w:rPr>
          <w:rFonts w:ascii="Arial" w:cs="Arial" w:eastAsia="Arial" w:hAnsi="Arial"/>
          <w:b/>
          <w:bCs/>
          <w:color w:val="111111"/>
          <w:sz w:val="19"/>
          <w:szCs w:val="19"/>
        </w:rPr>
        <w:t xml:space="preserve">1. Ordená las variables antes de empezar.</w:t>
      </w:r>
      <w:r>
        <w:rPr>
          <w:rFonts w:ascii="Arial" w:cs="Arial" w:eastAsia="Arial" w:hAnsi="Arial"/>
          <w:color w:val="111111"/>
          <w:sz w:val="19"/>
          <w:szCs w:val="19"/>
        </w:rPr>
        <w:t xml:space="preserve"> Pasale a Claude la descripción de las variables de este archivo y pedile que, en función de esa descripción, te ordene los datos y escriba bien los nombres de las variables: nombres claros, consistentes y en el mismo formato. Después usá esos nombres en todo el trabajo.</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“Te paso la descripción de las variables de mi dataset. Proponeme un nombre claro y consistente para cada una, y escribime el código en pandas para renombrar las columnas y dejarlas ordenadas.”</w:t>
      </w:r>
    </w:p>
    <w:p>
      <w:pPr>
        <w:keepNext/>
        <w:keepLines/>
        <w:spacing w:after="50" w:before="120" w:line="262"/>
      </w:pPr>
      <w:r>
        <w:rPr>
          <w:rFonts w:ascii="Arial" w:cs="Arial" w:eastAsia="Arial" w:hAnsi="Arial"/>
          <w:b/>
          <w:bCs/>
          <w:color w:val="111111"/>
          <w:sz w:val="19"/>
          <w:szCs w:val="19"/>
        </w:rPr>
        <w:t xml:space="preserve">2. Usá el chat a tu favor.</w:t>
      </w:r>
      <w:r>
        <w:rPr>
          <w:rFonts w:ascii="Arial" w:cs="Arial" w:eastAsia="Arial" w:hAnsi="Arial"/>
          <w:color w:val="111111"/>
          <w:sz w:val="19"/>
          <w:szCs w:val="19"/>
        </w:rPr>
        <w:t xml:space="preserve"> Preguntale cómo seguir, qué pasos hacer y si te estás olvidando de algo.</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“Esto es lo que hicimos hasta ahora: [...]. ¿Qué paso sigue? ¿Me estoy olvidando de algo?”</w:t>
      </w:r>
    </w:p>
    <w:p>
      <w:pPr>
        <w:keepNext/>
        <w:keepLines/>
        <w:spacing w:after="50" w:before="120" w:line="262"/>
      </w:pPr>
      <w:r>
        <w:rPr>
          <w:rFonts w:ascii="Arial" w:cs="Arial" w:eastAsia="Arial" w:hAnsi="Arial"/>
          <w:b/>
          <w:bCs/>
          <w:color w:val="111111"/>
          <w:sz w:val="19"/>
          <w:szCs w:val="19"/>
        </w:rPr>
        <w:t xml:space="preserve">3. Dividan el chat por stream.</w:t>
      </w:r>
      <w:r>
        <w:rPr>
          <w:rFonts w:ascii="Arial" w:cs="Arial" w:eastAsia="Arial" w:hAnsi="Arial"/>
          <w:color w:val="111111"/>
          <w:sz w:val="19"/>
          <w:szCs w:val="19"/>
        </w:rPr>
        <w:t xml:space="preserve"> Cada frente (exploración, modelado y slides) abre su propio chat con Claude. Cuando un frente termina algo, le pide un resumen corto de lo que encontró o hizo y se lo pasa al siguiente.</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“Resumime en 5 líneas lo que encontramos, para pasárselo al equipo que arma el modelo.”</w:t>
      </w:r>
    </w:p>
    <w:p>
      <w:pPr>
        <w:keepNext/>
        <w:keepLines/>
        <w:spacing w:after="50" w:before="120" w:line="262"/>
      </w:pPr>
      <w:r>
        <w:rPr>
          <w:rFonts w:ascii="Arial" w:cs="Arial" w:eastAsia="Arial" w:hAnsi="Arial"/>
          <w:b/>
          <w:bCs/>
          <w:color w:val="111111"/>
          <w:sz w:val="19"/>
          <w:szCs w:val="19"/>
        </w:rPr>
        <w:t xml:space="preserve">4. Dale el contexto completo desde el principio.</w:t>
      </w:r>
      <w:r>
        <w:rPr>
          <w:rFonts w:ascii="Arial" w:cs="Arial" w:eastAsia="Arial" w:hAnsi="Arial"/>
          <w:color w:val="111111"/>
          <w:sz w:val="19"/>
          <w:szCs w:val="19"/>
        </w:rPr>
        <w:t xml:space="preserve"> En el primer mensaje pegá la consigna y este archivo, y decile qué rol cumple.</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“Sos el analista de datos de mi equipo. Esta es la consigna y la descripción de los datos: [...]. Te voy a pedir ayuda paso a paso.”</w:t>
      </w:r>
    </w:p>
    <w:p>
      <w:pPr>
        <w:keepNext/>
        <w:keepLines/>
        <w:spacing w:after="50" w:before="120" w:line="262"/>
      </w:pPr>
      <w:r>
        <w:rPr>
          <w:rFonts w:ascii="Arial" w:cs="Arial" w:eastAsia="Arial" w:hAnsi="Arial"/>
          <w:b/>
          <w:bCs/>
          <w:color w:val="111111"/>
          <w:sz w:val="19"/>
          <w:szCs w:val="19"/>
        </w:rPr>
        <w:t xml:space="preserve">5. Armá las slides con una estructura.</w:t>
      </w:r>
      <w:r>
        <w:rPr>
          <w:rFonts w:ascii="Arial" w:cs="Arial" w:eastAsia="Arial" w:hAnsi="Arial"/>
          <w:color w:val="111111"/>
          <w:sz w:val="19"/>
          <w:szCs w:val="19"/>
        </w:rPr>
        <w:t xml:space="preserve"> Pedile que cada slide tenga un título que diga el insight (no el tema), un gráfico y una frase de cierre. Después, que ensaye con vos el pitch de 8 minutos.</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“Armame 3 slides: cada una con un título que diga la conclusión, un gráfico y una frase de cierre. Después hacé de público y hacime preguntas.”</w:t>
      </w:r>
    </w:p>
    <w:p>
      <w:pPr>
        <w:keepNext/>
        <w:pageBreakBefore/>
        <w:pBdr>
          <w:bottom w:val="single" w:color="111111" w:sz="18" w:space="4"/>
        </w:pBdr>
        <w:spacing w:after="100" w:before="0"/>
      </w:pPr>
      <w:r>
        <w:rPr>
          <w:rFonts w:ascii="Arial" w:cs="Arial" w:eastAsia="Arial" w:hAnsi="Arial"/>
          <w:b/>
          <w:bCs/>
          <w:color w:val="111111"/>
          <w:sz w:val="36"/>
          <w:szCs w:val="36"/>
        </w:rPr>
        <w:t xml:space="preserve">Preguntas para encontrar patrones</w:t>
      </w:r>
    </w:p>
    <w:p>
      <w:pPr>
        <w:spacing w:after="60" w:before="80" w:line="262"/>
      </w:pPr>
      <w:r>
        <w:rPr>
          <w:rFonts w:ascii="Arial" w:cs="Arial" w:eastAsia="Arial" w:hAnsi="Arial"/>
          <w:color w:val="111111"/>
          <w:sz w:val="19"/>
          <w:szCs w:val="19"/>
        </w:rPr>
        <w:t xml:space="preserve">Un patrón es un grupo de casos donde el resultado se comporta distinto del resto. No se encuentra mirando promedios generales sino comparando grupos. Estas son preguntas para hacerse mientras exploran, y también para pasarle a Claude.</w:t>
      </w:r>
    </w:p>
    <w:p>
      <w:pPr>
        <w:keepLines/>
        <w:spacing w:after="50" w:before="120" w:line="262"/>
      </w:pPr>
      <w:r>
        <w:rPr>
          <w:rFonts w:ascii="Arial" w:cs="Arial" w:eastAsia="Arial" w:hAnsi="Arial"/>
          <w:b/>
          <w:bCs/>
          <w:color w:val="111111"/>
          <w:sz w:val="19"/>
          <w:szCs w:val="19"/>
        </w:rPr>
        <w:t xml:space="preserve">1. ¿En qué grupos cambia la proporción de 1?</w:t>
      </w:r>
      <w:r>
        <w:rPr>
          <w:rFonts w:ascii="Arial" w:cs="Arial" w:eastAsia="Arial" w:hAnsi="Arial"/>
          <w:color w:val="111111"/>
          <w:sz w:val="19"/>
          <w:szCs w:val="19"/>
        </w:rPr>
        <w:t xml:space="preserve"> Para cada variable categórica, calculá qué proporción de casos tiene resultado 1 (la variable objetivo) en cada categoría y comparala con la proporción general. ¿Alguna se despega claramente? Fijate también cuántos casos tiene cada grupo: una diferencia en un grupo muy chico puede ser casualidad.</w:t>
      </w:r>
    </w:p>
    <w:p>
      <w:pPr>
        <w:keepLines/>
        <w:spacing w:after="50" w:before="120" w:line="262"/>
      </w:pPr>
      <w:r>
        <w:rPr>
          <w:rFonts w:ascii="Arial" w:cs="Arial" w:eastAsia="Arial" w:hAnsi="Arial"/>
          <w:b/>
          <w:bCs/>
          <w:color w:val="111111"/>
          <w:sz w:val="19"/>
          <w:szCs w:val="19"/>
        </w:rPr>
        <w:t xml:space="preserve">2. ¿Y en las variables numéricas?</w:t>
      </w:r>
      <w:r>
        <w:rPr>
          <w:rFonts w:ascii="Arial" w:cs="Arial" w:eastAsia="Arial" w:hAnsi="Arial"/>
          <w:color w:val="111111"/>
          <w:sz w:val="19"/>
          <w:szCs w:val="19"/>
        </w:rPr>
        <w:t xml:space="preserve"> Dividilas en tramos (por ejemplo, cuartiles) y mirá si la proporción de 1 sube, baja o se mantiene. ¿El cambio es gradual o aparece de golpe a partir de cierto punto?</w:t>
      </w:r>
    </w:p>
    <w:p>
      <w:pPr>
        <w:keepLines/>
        <w:spacing w:after="50" w:before="120" w:line="262"/>
      </w:pPr>
      <w:r>
        <w:rPr>
          <w:rFonts w:ascii="Arial" w:cs="Arial" w:eastAsia="Arial" w:hAnsi="Arial"/>
          <w:b/>
          <w:bCs/>
          <w:color w:val="111111"/>
          <w:sz w:val="19"/>
          <w:szCs w:val="19"/>
        </w:rPr>
        <w:t xml:space="preserve">3. ¿Qué información esconde una fecha?</w:t>
      </w:r>
      <w:r>
        <w:rPr>
          <w:rFonts w:ascii="Arial" w:cs="Arial" w:eastAsia="Arial" w:hAnsi="Arial"/>
          <w:color w:val="111111"/>
          <w:sz w:val="19"/>
          <w:szCs w:val="19"/>
        </w:rPr>
        <w:t xml:space="preserve"> Una fecha y hora no es una sola variable. ¿Qué otras variables se pueden construir a partir de ella? ¿El momento en que ocurre el evento hace alguna diferencia?</w:t>
      </w:r>
    </w:p>
    <w:p>
      <w:pPr>
        <w:keepLines/>
        <w:spacing w:after="50" w:before="120" w:line="262"/>
      </w:pPr>
      <w:r>
        <w:rPr>
          <w:rFonts w:ascii="Arial" w:cs="Arial" w:eastAsia="Arial" w:hAnsi="Arial"/>
          <w:b/>
          <w:bCs/>
          <w:color w:val="111111"/>
          <w:sz w:val="19"/>
          <w:szCs w:val="19"/>
        </w:rPr>
        <w:t xml:space="preserve">4. ¿Qué pasa al combinar dos variables?</w:t>
      </w:r>
      <w:r>
        <w:rPr>
          <w:rFonts w:ascii="Arial" w:cs="Arial" w:eastAsia="Arial" w:hAnsi="Arial"/>
          <w:color w:val="111111"/>
          <w:sz w:val="19"/>
          <w:szCs w:val="19"/>
        </w:rPr>
        <w:t xml:space="preserve"> Hay grupos que solos no llaman la atención, pero combinados sí. Cruzá las variables de a dos y mirá la proporción de 1 en cada combinación (tabla cruzada o mapa de calor). ¿Hay algún rincón donde el resultado es muy distinto al resto?</w:t>
      </w:r>
    </w:p>
    <w:p>
      <w:pPr>
        <w:keepLines/>
        <w:spacing w:after="50" w:before="120" w:line="262"/>
      </w:pPr>
      <w:r>
        <w:rPr>
          <w:rFonts w:ascii="Arial" w:cs="Arial" w:eastAsia="Arial" w:hAnsi="Arial"/>
          <w:b/>
          <w:bCs/>
          <w:color w:val="111111"/>
          <w:sz w:val="19"/>
          <w:szCs w:val="19"/>
        </w:rPr>
        <w:t xml:space="preserve">5. ¿Qué variables no aportan?</w:t>
      </w:r>
      <w:r>
        <w:rPr>
          <w:rFonts w:ascii="Arial" w:cs="Arial" w:eastAsia="Arial" w:hAnsi="Arial"/>
          <w:color w:val="111111"/>
          <w:sz w:val="19"/>
          <w:szCs w:val="19"/>
        </w:rPr>
        <w:t xml:space="preserve"> Descartar variables también es un hallazgo. ¿Cuáles no muestran ninguna relación con el resultado, ni solas ni combinadas? ¿Cómo lo comprobaron?</w:t>
      </w:r>
    </w:p>
    <w:p>
      <w:pPr>
        <w:keepLines/>
        <w:spacing w:after="50" w:before="120" w:line="262"/>
      </w:pPr>
      <w:r>
        <w:rPr>
          <w:rFonts w:ascii="Arial" w:cs="Arial" w:eastAsia="Arial" w:hAnsi="Arial"/>
          <w:b/>
          <w:bCs/>
          <w:color w:val="111111"/>
          <w:sz w:val="19"/>
          <w:szCs w:val="19"/>
        </w:rPr>
        <w:t xml:space="preserve">6. ¿Cuándo se conoce cada variable?</w:t>
      </w:r>
      <w:r>
        <w:rPr>
          <w:rFonts w:ascii="Arial" w:cs="Arial" w:eastAsia="Arial" w:hAnsi="Arial"/>
          <w:color w:val="111111"/>
          <w:sz w:val="19"/>
          <w:szCs w:val="19"/>
        </w:rPr>
        <w:t xml:space="preserve"> Para cada una, preguntate si ya la tendrías en el momento de tomar la decisión de negocio. Si no la tendrías, ¿tiene sentido usarla para predecir? Comparen también qué columnas trae cada archivo.</w:t>
      </w:r>
    </w:p>
    <w:p>
      <w:pPr>
        <w:keepLines/>
        <w:spacing w:after="50" w:before="120" w:line="262"/>
      </w:pPr>
      <w:r>
        <w:rPr>
          <w:rFonts w:ascii="Arial" w:cs="Arial" w:eastAsia="Arial" w:hAnsi="Arial"/>
          <w:b/>
          <w:bCs/>
          <w:color w:val="111111"/>
          <w:sz w:val="19"/>
          <w:szCs w:val="19"/>
        </w:rPr>
        <w:t xml:space="preserve">7. ¿Qué tienen de raro los datos?</w:t>
      </w:r>
      <w:r>
        <w:rPr>
          <w:rFonts w:ascii="Arial" w:cs="Arial" w:eastAsia="Arial" w:hAnsi="Arial"/>
          <w:color w:val="111111"/>
          <w:sz w:val="19"/>
          <w:szCs w:val="19"/>
        </w:rPr>
        <w:t xml:space="preserve"> Valores faltantes, extremos o imposibles: ¿están repartidos al azar o concentrados en algún tipo de caso? ¿Distorsionan los promedios o los gráficos? ¿Qué harían con ellos y por qué?</w:t>
      </w:r>
    </w:p>
    <w:p>
      <w:pPr>
        <w:keepLines/>
        <w:spacing w:after="50" w:before="120" w:line="262"/>
      </w:pPr>
      <w:r>
        <w:rPr>
          <w:rFonts w:ascii="Arial" w:cs="Arial" w:eastAsia="Arial" w:hAnsi="Arial"/>
          <w:b/>
          <w:bCs/>
          <w:color w:val="111111"/>
          <w:sz w:val="19"/>
          <w:szCs w:val="19"/>
        </w:rPr>
        <w:t xml:space="preserve">8. ¿Cuánto importa cada hallazgo?</w:t>
      </w:r>
      <w:r>
        <w:rPr>
          <w:rFonts w:ascii="Arial" w:cs="Arial" w:eastAsia="Arial" w:hAnsi="Arial"/>
          <w:color w:val="111111"/>
          <w:sz w:val="19"/>
          <w:szCs w:val="19"/>
        </w:rPr>
        <w:t xml:space="preserve"> Para cada patrón: ¿cuántos casos abarca?, ¿cuánto cambia la proporción de 1?, ¿qué decisión del negocio cambia? Quédense con los que más mueven la aguja y contalos en términos del problema, no solo de los datos.</w:t>
      </w:r>
    </w:p>
    <w:p>
      <w:pPr>
        <w:keepNext/>
        <w:spacing w:after="60" w:before="220"/>
      </w:pPr>
      <w:r>
        <w:rPr>
          <w:rFonts w:ascii="Arial" w:cs="Arial" w:eastAsia="Arial" w:hAnsi="Arial"/>
          <w:b/>
          <w:bCs/>
          <w:color w:val="111111"/>
          <w:spacing w:val="24"/>
          <w:sz w:val="16"/>
          <w:szCs w:val="16"/>
        </w:rPr>
        <w:t xml:space="preserve">CÓMO PEDÍRSELO A CLAUDE</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“Para cada variable, calculá la proporción de casos con resultado 1 por categoría o por tramo. Ordenalas de la que más se despega de la proporción general a la que menos, y mostrame cuántos casos tiene cada grupo.”</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“Sacá de la fecha todas las variables que se te ocurran y decime si alguna cambia la proporción de 1.”</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“Cruzá de a dos las variables más relevantes y mostrame las combinaciones donde la proporción de 1 es muy distinta de la general, con la cantidad de casos de cada una.”</w:t>
      </w:r>
    </w:p>
    <w:sectPr>
      <w:pgSz w:w="11906" w:h="16838" w:orient="portrait"/>
      <w:pgMar w:top="700" w:right="800" w:bottom="6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Metadata - Marketing</dc:title>
  <dc:creator>Juan Costa</dc:creator>
  <cp:lastModifiedBy>Un-named</cp:lastModifiedBy>
  <cp:revision>1</cp:revision>
  <dcterms:created xsi:type="dcterms:W3CDTF">2026-10-26T22:29:59.235Z</dcterms:created>
  <dcterms:modified xsi:type="dcterms:W3CDTF">2026-10-26T22:29:59.236Z</dcterms:modified>
</cp:coreProperties>
</file>

<file path=docProps/custom.xml><?xml version="1.0" encoding="utf-8"?>
<Properties xmlns="http://schemas.openxmlformats.org/officeDocument/2006/custom-properties" xmlns:vt="http://schemas.openxmlformats.org/officeDocument/2006/docPropsVTypes"/>
</file>