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Documentación técnica de la plataforma de logística y monitoreo</w:t>
      </w:r>
    </w:p>
    <w:p>
      <w:r>
        <w:t>Ingeniería de Datos II</w:t>
        <w:br/>
        <w:t>Persistencia políglota</w:t>
        <w:br/>
        <w:t>20 de octubre de 2026</w:t>
      </w:r>
    </w:p>
    <w:p>
      <w:pPr>
        <w:pStyle w:val="Heading1"/>
      </w:pPr>
      <w:r>
        <w:rPr>
          <w:color w:val="000000"/>
        </w:rPr>
        <w:t>Alcance y resultado</w:t>
      </w:r>
    </w:p>
    <w:p>
      <w:r>
        <w:t>La aplicación es un sistema de escritorio Java con interfaz Swing que distribuye los datos de operación entre MongoDB, Neo4j, Cassandra y Redis. Gestiona envíos y relaciones logísticas, datos maestros, lecturas IoT, comunicaciones y sesiones. Las funciones de facturación, reportes y análisis tienen los alcances y límites detallados en este documento. [E01, E03]</w:t>
      </w:r>
    </w:p>
    <w:p>
      <w:r>
        <w:t>El documento describe la arquitectura, los modelos físicos, las consultas, las reglas de integridad, la sincronización y la operación del proyecto. Corresponde a main b8c08a3354ba32873f3065691b215481e094e4ac con los cambios locales presentes en /Users/lucianaamaya/Desktop/datos2final el 20/10/2026. La cobertura se determina por los flujos implementados en los archivos; esta revisión no ejecutó la aplicación ni consultó bases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56"/>
        <w:gridCol w:w="6840"/>
      </w:tblGrid>
      <w:tr>
        <w:trPr>
          <w:tblHeader/>
          <w:cantSplit/>
          <w:tblHeader/>
        </w:trPr>
        <w:tc>
          <w:tcPr>
            <w:tcW w:type="dxa" w:w="1440"/>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Motor</w:t>
            </w:r>
          </w:p>
        </w:tc>
        <w:tc>
          <w:tcPr>
            <w:tcW w:type="dxa" w:w="165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Paradigma</w:t>
            </w:r>
          </w:p>
        </w:tc>
        <w:tc>
          <w:tcPr>
            <w:tcW w:type="dxa" w:w="6840"/>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Información utilizada</w:t>
            </w:r>
          </w:p>
        </w:tc>
      </w:tr>
      <w:tr>
        <w:trPr>
          <w:cantSplit/>
        </w:trPr>
        <w:tc>
          <w:tcPr>
            <w:tcW w:type="dxa" w:w="1440"/>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MongoDB</w:t>
            </w:r>
          </w:p>
        </w:tc>
        <w:tc>
          <w:tcPr>
            <w:tcW w:type="dxa" w:w="165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Documental</w:t>
            </w:r>
          </w:p>
        </w:tc>
        <w:tc>
          <w:tcPr>
            <w:tcW w:type="dxa" w:w="6840"/>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Datos maestros, eventos, incidentes, alertas, comunicaciones y documentos comerciales.</w:t>
            </w:r>
          </w:p>
        </w:tc>
      </w:tr>
      <w:tr>
        <w:trPr>
          <w:cantSplit/>
        </w:trPr>
        <w:tc>
          <w:tcPr>
            <w:tcW w:type="dxa" w:w="14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Neo4j</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Grafos</w:t>
            </w:r>
          </w:p>
        </w:tc>
        <w:tc>
          <w:tcPr>
            <w:tcW w:type="dxa" w:w="68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Envíos y vínculos con clientes, contenedores, vehículos, sensores y ubicaciones.</w:t>
            </w:r>
          </w:p>
        </w:tc>
      </w:tr>
      <w:tr>
        <w:trPr>
          <w:cantSplit/>
        </w:trPr>
        <w:tc>
          <w:tcPr>
            <w:tcW w:type="dxa" w:w="14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Cassandra</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Columnas anchas</w:t>
            </w:r>
          </w:p>
        </w:tc>
        <w:tc>
          <w:tcPr>
            <w:tcW w:type="dxa" w:w="6840"/>
            <w:vAlign w:val="center"/>
            <w:tcMar>
              <w:top w:w="65" w:type="dxa"/>
              <w:bottom w:w="65" w:type="dxa"/>
              <w:left w:w="80" w:type="dxa"/>
              <w:right w:w="80" w:type="dxa"/>
              <w:top w:w="90" w:type="dxa"/>
              <w:bottom w:w="90" w:type="dxa"/>
              <w:left w:w="110" w:type="dxa"/>
              <w:right w:w="110" w:type="dxa"/>
            </w:tcMar>
          </w:tcPr>
          <w:p>
            <w:pPr>
              <w:spacing w:after="60"/>
            </w:pPr>
            <w:r>
              <w:rPr>
                <w:sz w:val="18"/>
              </w:rPr>
              <w:t>Lecturas IoT, posiciones GPS y métricas por región y país.</w:t>
            </w:r>
          </w:p>
        </w:tc>
      </w:tr>
      <w:tr>
        <w:trPr>
          <w:cantSplit/>
        </w:trPr>
        <w:tc>
          <w:tcPr>
            <w:tcW w:type="dxa" w:w="14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Redis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Clave valor</w:t>
            </w:r>
          </w:p>
        </w:tc>
        <w:tc>
          <w:tcPr>
            <w:tcW w:type="dxa" w:w="68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Sesiones activas con vencimiento.</w:t>
            </w:r>
          </w:p>
        </w:tc>
      </w:tr>
    </w:tbl>
    <w:p/>
    <w:p>
      <w:r>
        <w:t>Estos cuatro paradigmas cubren el mínimo de tres tecnologías diferentes solicitado. La aplicación no utiliza una base relacional. Las dependencias, conexiones y modelos vigentes corresponden a los cuatro motores anteriores. [E01, E04, E05, E07, E12, E16]</w:t>
      </w:r>
    </w:p>
    <w:p>
      <w:pPr>
        <w:pStyle w:val="Heading2"/>
      </w:pPr>
      <w:r>
        <w:rPr>
          <w:color w:val="000000"/>
        </w:rPr>
        <w:t>Correspondencia con la consigna</w:t>
      </w:r>
    </w:p>
    <w:p>
      <w:r>
        <w:t>El trabajo práctico solicita la justificación de cada motor, modelos físicos con relaciones, índices, restricciones y particionamiento, una aplicación por capas, casos y datos de prueba y documentación técnica. También pide explicar sincronización y problemas de consistencia. Este informe desarrolla esos puntos y acompaña los scripts y modelos de ModelosBD. Referencia: TP_Persistencia_Poliglota.pdf, páginas 1, 2, 7 y 8.</w:t>
      </w:r>
    </w:p>
    <w:p>
      <w:pPr>
        <w:pStyle w:val="Heading1"/>
        <w:pageBreakBefore/>
      </w:pPr>
      <w:r>
        <w:rPr>
          <w:color w:val="000000"/>
        </w:rPr>
        <w:t>Arquitectura y organización del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408"/>
        <w:gridCol w:w="1728"/>
      </w:tblGrid>
      <w:tr>
        <w:trPr>
          <w:tblHeader/>
          <w:cantSplit/>
          <w:tblHeader/>
        </w:trPr>
        <w:tc>
          <w:tcPr>
            <w:tcW w:type="dxa" w:w="1800"/>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Capa o componente</w:t>
            </w:r>
          </w:p>
        </w:tc>
        <w:tc>
          <w:tcPr>
            <w:tcW w:type="dxa" w:w="640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Responsabilidad</w:t>
            </w:r>
          </w:p>
        </w:tc>
        <w:tc>
          <w:tcPr>
            <w:tcW w:type="dxa" w:w="172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Evidencia</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Interfaz Swing</w:t>
            </w:r>
          </w:p>
        </w:tc>
        <w:tc>
          <w:tcPr>
            <w:tcW w:type="dxa" w:w="640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Paneles, formularios, tablas, selector de sensores y mapa; navegación con CardLayout.</w:t>
            </w:r>
          </w:p>
        </w:tc>
        <w:tc>
          <w:tcPr>
            <w:tcW w:type="dxa" w:w="172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E03, E11, E15</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Controladores de vista</w:t>
            </w:r>
          </w:p>
        </w:tc>
        <w:tc>
          <w:tcPr>
            <w:tcW w:type="dxa" w:w="64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Traducen eventos gráficos a llamadas de negocio y muestran errores.</w:t>
            </w:r>
          </w:p>
        </w:tc>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E03, E11, E19</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Controladores de negocio</w:t>
            </w:r>
          </w:p>
        </w:tc>
        <w:tc>
          <w:tcPr>
            <w:tcW w:type="dxa" w:w="64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Exponen operaciones de usuarios, MongoDB, Neo4j y monitoreo.</w:t>
            </w:r>
          </w:p>
        </w:tc>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E10, E26</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Servicios</w:t>
            </w:r>
          </w:p>
        </w:tc>
        <w:tc>
          <w:tcPr>
            <w:tcW w:type="dxa" w:w="64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Validaciones, permisos, conversación, reservas y coordinación de operaciones.</w:t>
            </w:r>
          </w:p>
        </w:tc>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E06, E09, E17, E18</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DAO</w:t>
            </w:r>
          </w:p>
        </w:tc>
        <w:tc>
          <w:tcPr>
            <w:tcW w:type="dxa" w:w="64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Consultas y escrituras con MongoDB, Cypher, CQL y Jedis.</w:t>
            </w:r>
          </w:p>
        </w:tc>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E05, E07, E13, E16</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Conexiones Singleton</w:t>
            </w:r>
          </w:p>
        </w:tc>
        <w:tc>
          <w:tcPr>
            <w:tcW w:type="dxa" w:w="64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Reutilizan un cliente o sesión por motor y leen configuración con dotenv.</w:t>
            </w:r>
          </w:p>
        </w:tc>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E28</w:t>
            </w:r>
          </w:p>
        </w:tc>
      </w:tr>
      <w:tr>
        <w:trPr>
          <w:cantSplit/>
        </w:trPr>
        <w:tc>
          <w:tcPr>
            <w:tcW w:type="dxa" w:w="180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Datos de prueba y PDF</w:t>
            </w:r>
          </w:p>
        </w:tc>
        <w:tc>
          <w:tcPr>
            <w:tcW w:type="dxa" w:w="6408"/>
            <w:vAlign w:val="center"/>
            <w:tcMar>
              <w:top w:w="65" w:type="dxa"/>
              <w:bottom w:w="65" w:type="dxa"/>
              <w:left w:w="80" w:type="dxa"/>
              <w:right w:w="80" w:type="dxa"/>
              <w:top w:w="90" w:type="dxa"/>
              <w:bottom w:w="90" w:type="dxa"/>
              <w:left w:w="110" w:type="dxa"/>
              <w:right w:w="110" w:type="dxa"/>
            </w:tcMar>
          </w:tcPr>
          <w:p>
            <w:pPr>
              <w:spacing w:after="60"/>
            </w:pPr>
            <w:r>
              <w:rPr>
                <w:sz w:val="18"/>
              </w:rPr>
              <w:t>Generadores por motor, PDF de facturas y reportes operativos y analíticos.</w:t>
            </w:r>
          </w:p>
        </w:tc>
        <w:tc>
          <w:tcPr>
            <w:tcW w:type="dxa" w:w="1728"/>
            <w:vAlign w:val="center"/>
            <w:tcMar>
              <w:top w:w="65" w:type="dxa"/>
              <w:bottom w:w="65" w:type="dxa"/>
              <w:left w:w="80" w:type="dxa"/>
              <w:right w:w="80" w:type="dxa"/>
              <w:top w:w="90" w:type="dxa"/>
              <w:bottom w:w="90" w:type="dxa"/>
              <w:left w:w="110" w:type="dxa"/>
              <w:right w:w="110" w:type="dxa"/>
            </w:tcMar>
          </w:tcPr>
          <w:p>
            <w:pPr>
              <w:spacing w:after="60"/>
            </w:pPr>
            <w:r>
              <w:rPr>
                <w:sz w:val="18"/>
              </w:rPr>
              <w:t>E19, E23, E24, E30</w:t>
            </w:r>
          </w:p>
        </w:tc>
      </w:tr>
    </w:tbl>
    <w:p/>
    <w:p>
      <w:r>
        <w:t>La separación por capas convive con coordinaciones entre motores: LogisticaNeo4jService utiliza un DAO MongoDB para reservar contenedores y un DAO Neo4j para guardar el envío. DisponibilidadContenedores recibe un Repositorio que permite probar su regla con una implementación en memoria. [E09, E10, E25]</w:t>
      </w:r>
    </w:p>
    <w:p>
      <w:r>
        <w:t>En el Main local, la llamada a EliminarDatos.eliminarDatosDePrueba está comentada. Se invoca DatosPruebaTotal.cargarDatos y luego el login. App inicia Swing mediante invokeLater. PrincipalPanel construye las vistas habilitadas y PrincipalController verifica el permiso al navegar. [E02, E03]</w:t>
      </w:r>
    </w:p>
    <w:p>
      <w:pPr>
        <w:pStyle w:val="Heading2"/>
      </w:pPr>
      <w:r>
        <w:rPr>
          <w:color w:val="000000"/>
        </w:rPr>
        <w:t>Errores y registro</w:t>
      </w:r>
    </w:p>
    <w:p>
      <w:r>
        <w:t>Los servicios lanzan excepciones de validación y seguridad. Los controladores de interfaz presentan mensajes con JOptionPane o etiquetas de estado; distintos componentes escriben System.out, System.err o printStackTrace. El proyecto no configura una política centralizada de archivos de log, rotación o auditoría. [E06, E09, E17, E19, E23]</w:t>
      </w:r>
    </w:p>
    <w:p>
      <w:pPr>
        <w:pStyle w:val="Heading1"/>
        <w:pageBreakBefore/>
      </w:pPr>
      <w:r>
        <w:rPr>
          <w:color w:val="000000"/>
        </w:rPr>
        <w:t>Justificación de la persistencia políglota</w:t>
      </w:r>
    </w:p>
    <w:p>
      <w:pPr>
        <w:pStyle w:val="Heading2"/>
      </w:pPr>
      <w:r>
        <w:rPr>
          <w:color w:val="000000"/>
        </w:rPr>
        <w:t>MongoDB para documentos de operación</w:t>
      </w:r>
    </w:p>
    <w:p>
      <w:r>
        <w:t>Los DAO construyen BSON para datos maestros y comerciales. Cliente embebe la dirección y las conversaciones guardan listas de participantes; los importes contables BigDecimal se escriben como Decimal128. Las referencias son lógicas. Existen índices únicos para aperturas, cierres y referencias de movimientos. CuentaCorrienteService escribe movimiento y saldo en una transacción; el cierre mensual también utiliza una transacción. Otras operaciones, como crear la cuenta y su apertura, se ejecutan por separado. [E05, E06, E29]</w:t>
      </w:r>
    </w:p>
    <w:p>
      <w:pPr>
        <w:pStyle w:val="Heading2"/>
      </w:pPr>
      <w:r>
        <w:rPr>
          <w:color w:val="000000"/>
        </w:rPr>
        <w:t>Neo4j para relaciones logísticas</w:t>
      </w:r>
    </w:p>
    <w:p>
      <w:r>
        <w:t>Envio se conecta a Cliente, Contenedor, Vehiculo y Ubicacion; GrafoNeo4jDAO consulta esa red y los envíos asociados a un contenedor. La ventaja es representar y recorrer explícitamente los vínculos, sin repetir cliente o ciudades en el nodo Envio. El límite actual es la falta de restricciones físicas de unicidad y de sincronización general de copias maestras. El trayecto contiene origen y destino, sin Tramo o historial de cambios. La elección de grafo responde a esas consultas de relaciones. [E07, E08, E23]</w:t>
      </w:r>
    </w:p>
    <w:p>
      <w:pPr>
        <w:pStyle w:val="Heading2"/>
      </w:pPr>
      <w:r>
        <w:rPr>
          <w:color w:val="000000"/>
        </w:rPr>
        <w:t>Cassandra para lecturas y métricas IoT</w:t>
      </w:r>
    </w:p>
    <w:p>
      <w:r>
        <w:t>lecturas_sensor particiona por sensor_id y fecha_dia para el historial diario. posiciones_sensor particiona por sensor_id y ordena por fecha_hora para consultas GPS. Las tablas de región y país conservan agregados diarios. Las vistas también realizan consultas globales y los agregados se actualizan mediante lectura y nueva escritura, sin LWT ni transacción conjunta. La replicación configurada es uno; no hay mediciones de rendimiento o tolerancia a fallos en esta revisión. [E12, E13, E14, E22]</w:t>
      </w:r>
    </w:p>
    <w:p>
      <w:pPr>
        <w:pStyle w:val="Heading2"/>
      </w:pPr>
      <w:r>
        <w:rPr>
          <w:color w:val="000000"/>
        </w:rPr>
        <w:t>Redis para sesiones con vencimiento</w:t>
      </w:r>
    </w:p>
    <w:p>
      <w:r>
        <w:t>SesionDAO utiliza sesion:&lt;idUsuarioMongo&gt; con valor activa y vencimiento de 1800 segundos. La ventaja del modelo es usar TTL, EXISTS y DEL directamente para vigencia y cierre; SCAN permite administrarlo. Su límite es que no conserva fechas de inicio y fin, historial o sesiones distintas por dispositivo. Un nuevo inicio reemplaza la clave del usuario. Docker Compose declara un volumen, sin política explícita de AOF, clúster o réplica: no demuestra persistencia de cada escritura. [E04, E16]</w:t>
      </w:r>
    </w:p>
    <w:p>
      <w:pPr>
        <w:pStyle w:val="Heading2"/>
      </w:pPr>
      <w:r>
        <w:rPr>
          <w:color w:val="000000"/>
        </w:rPr>
        <w:t>Información relacional solicitada para discusión</w:t>
      </w:r>
    </w:p>
    <w:p>
      <w:r>
        <w:t>Factura, Pago, CuentaCorriente, MovimientoCuentaCorriente y CierreMensualCuentaCorriente representan relaciones e importes contables que podrían modelarse en una base relacional. Esta discusión responde al desafío de la consigna: el proyecto actual los almacena en MongoDB y emplea transacciones para movimientos/saldo y cierres. No hay integración transaccional de facturación y pagos con esos movimientos. No se propone un esquema SQL como componente existente. [E05, E19, E20, E29]</w:t>
      </w:r>
    </w:p>
    <w:p>
      <w:pPr>
        <w:pStyle w:val="Heading1"/>
        <w:pageBreakBefore/>
      </w:pPr>
      <w:r>
        <w:rPr>
          <w:color w:val="000000"/>
        </w:rPr>
        <w:t>Modelo físico de MongoDB</w:t>
      </w:r>
    </w:p>
    <w:p>
      <w:r>
        <w:t>La base documental es datos2. Los DAO y servicios referencian 19 colecciones, incluidas aperturas y contadores. Los tipos siguientes corresponden a las escrituras Java; no son validadores de esquema del servidor. modeloMongoDB.txt describe las mismas colecciones. [E05, E29]</w:t>
      </w:r>
    </w:p>
    <w:p>
      <w:pPr>
        <w:pStyle w:val="Heading2"/>
      </w:pPr>
      <w:r>
        <w:rPr>
          <w:color w:val="000000"/>
        </w:rPr>
        <w:t>Datos maestros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blHeader/>
        </w:trPr>
        <w:tc>
          <w:tcPr>
            <w:tcW w:type="dxa" w:w="223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Colección</w:t>
            </w:r>
          </w:p>
        </w:tc>
        <w:tc>
          <w:tcPr>
            <w:tcW w:type="dxa" w:w="770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Campos persistidos</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clientes</w:t>
            </w:r>
          </w:p>
        </w:tc>
        <w:tc>
          <w:tcPr>
            <w:tcW w:type="dxa" w:w="7704"/>
            <w:vAlign w:val="center"/>
            <w:tcMar>
              <w:top w:w="65" w:type="dxa"/>
              <w:bottom w:w="65" w:type="dxa"/>
              <w:left w:w="80" w:type="dxa"/>
              <w:right w:w="80" w:type="dxa"/>
              <w:top w:w="90" w:type="dxa"/>
              <w:bottom w:w="90" w:type="dxa"/>
              <w:left w:w="110" w:type="dxa"/>
              <w:right w:w="110" w:type="dxa"/>
            </w:tcMar>
          </w:tcPr>
          <w:p>
            <w:pPr>
              <w:spacing w:after="60"/>
            </w:pPr>
            <w:r>
              <w:rPr>
                <w:sz w:val="18"/>
              </w:rPr>
              <w:t>_id ObjectId</w:t>
              <w:br/>
              <w:t>codigo String</w:t>
              <w:br/>
              <w:t>razon_social String</w:t>
              <w:br/>
              <w:t>cuit String</w:t>
              <w:br/>
              <w:t>email String</w:t>
              <w:br/>
              <w:t>telefono String</w:t>
              <w:br/>
              <w:t>direccion Document {calle, numero, ciudad, codigo_postal: String}</w:t>
              <w:br/>
              <w:t>pais String</w:t>
              <w:br/>
              <w:t>estado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usuarios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cliente_id ObjectId o null</w:t>
              <w:br/>
              <w:t>rol_id ObjectId</w:t>
              <w:br/>
              <w:t>nombre String</w:t>
              <w:br/>
              <w:t>apellido String</w:t>
              <w:br/>
              <w:t>email String</w:t>
              <w:br/>
              <w:t>contraseña_encriptada String</w:t>
              <w:br/>
              <w:t>estado String</w:t>
              <w:br/>
              <w:t>fecha_registro Date</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roles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descripcion String</w:t>
              <w:br/>
              <w:t>nivel_permisos Int32</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contenedores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codigo_internacional String</w:t>
              <w:br/>
              <w:t>tipo String</w:t>
              <w:br/>
              <w:t>capacidad Double</w:t>
              <w:br/>
              <w:t>estado String</w:t>
              <w:br/>
              <w:t>envio_asignado String opcional</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vehiculos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tipo String</w:t>
              <w:br/>
              <w:t>identificacion String</w:t>
              <w:br/>
              <w:t>empresa_operadora String</w:t>
              <w:br/>
              <w:t>estado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sensores</w:t>
            </w:r>
          </w:p>
        </w:tc>
        <w:tc>
          <w:tcPr>
            <w:tcW w:type="dxa" w:w="7704"/>
            <w:vAlign w:val="center"/>
            <w:tcMar>
              <w:top w:w="65" w:type="dxa"/>
              <w:bottom w:w="65" w:type="dxa"/>
              <w:left w:w="80" w:type="dxa"/>
              <w:right w:w="80" w:type="dxa"/>
              <w:top w:w="90" w:type="dxa"/>
              <w:bottom w:w="90" w:type="dxa"/>
              <w:left w:w="110" w:type="dxa"/>
              <w:right w:w="110" w:type="dxa"/>
            </w:tcMar>
          </w:tcPr>
          <w:p>
            <w:pPr>
              <w:spacing w:after="60"/>
            </w:pPr>
            <w:r>
              <w:rPr>
                <w:sz w:val="18"/>
              </w:rPr>
              <w:t>_id ObjectId</w:t>
              <w:br/>
              <w:t>codigo String</w:t>
              <w:br/>
              <w:t>contenedor_id ObjectId</w:t>
              <w:br/>
              <w:t>tipo String</w:t>
              <w:br/>
              <w:t>fabricante String</w:t>
              <w:br/>
              <w:t>fecha_instalacion Date</w:t>
              <w:br/>
              <w:t>estado String</w:t>
            </w:r>
          </w:p>
        </w:tc>
      </w:tr>
    </w:tbl>
    <w:p/>
    <w:p>
      <w:pPr>
        <w:pStyle w:val="Heading2"/>
      </w:pPr>
      <w:r>
        <w:rPr>
          <w:color w:val="000000"/>
        </w:rPr>
        <w:t>Operación y documentos comerciales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blHeader/>
        </w:trPr>
        <w:tc>
          <w:tcPr>
            <w:tcW w:type="dxa" w:w="223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Colección</w:t>
            </w:r>
          </w:p>
        </w:tc>
        <w:tc>
          <w:tcPr>
            <w:tcW w:type="dxa" w:w="770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Campos persistidos</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eventos_logisticos</w:t>
            </w:r>
          </w:p>
        </w:tc>
        <w:tc>
          <w:tcPr>
            <w:tcW w:type="dxa" w:w="770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_id ObjectId</w:t>
              <w:br/>
              <w:t>envio_id String</w:t>
              <w:br/>
              <w:t>fecha_hora Date</w:t>
              <w:br/>
              <w:t>tipo_evento String</w:t>
              <w:br/>
              <w:t>ubicacion String</w:t>
              <w:br/>
              <w:t>descripcion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incidentes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envio_id String</w:t>
              <w:br/>
              <w:t>tipo String</w:t>
              <w:br/>
              <w:t>fecha Date</w:t>
              <w:br/>
              <w:t>severidad String</w:t>
              <w:br/>
              <w:t>estado String</w:t>
              <w:br/>
              <w:t>descripcion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alertas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sensor_id ObjectId</w:t>
              <w:br/>
              <w:t>evento_id ObjectId</w:t>
              <w:br/>
              <w:t>tipo String</w:t>
              <w:br/>
              <w:t>fecha Date</w:t>
              <w:br/>
              <w:t>estado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reportes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usuario_id ObjectId</w:t>
              <w:br/>
              <w:t>tipo String</w:t>
              <w:br/>
              <w:t>fecha_generacion Date</w:t>
              <w:br/>
              <w:t>formato String</w:t>
              <w:br/>
              <w:t>estado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facturas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cliente_id ObjectId</w:t>
              <w:br/>
              <w:t>fecha_emision Date</w:t>
              <w:br/>
              <w:t>importe_total Decimal128</w:t>
              <w:br/>
              <w:t>estado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pagos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factura_id ObjectId</w:t>
              <w:br/>
              <w:t>fecha Date</w:t>
              <w:br/>
              <w:t>monto Decimal128</w:t>
              <w:br/>
              <w:t>medio_pago String</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cuentas_corrientes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cliente_id ObjectId</w:t>
              <w:br/>
              <w:t>saldo Decimal128</w:t>
              <w:br/>
              <w:t>fecha_actualizacion Date</w:t>
            </w:r>
          </w:p>
        </w:tc>
      </w:tr>
      <w:tr>
        <w:trPr/>
        <w:tc>
          <w:tcPr>
            <w:tcW w:type="dxa" w:w="2232"/>
            <w:vAlign w:val="center"/>
            <w:tcMar>
              <w:top w:w="90" w:type="dxa"/>
              <w:bottom w:w="90" w:type="dxa"/>
              <w:left w:w="110" w:type="dxa"/>
              <w:right w:w="110" w:type="dxa"/>
            </w:tcMar>
          </w:tcPr>
          <w:p>
            <w:pPr>
              <w:spacing w:after="60"/>
            </w:pPr>
            <w:r>
              <w:rPr>
                <w:sz w:val="18"/>
              </w:rPr>
              <w:t>movimientos_cuenta_corriente</w:t>
            </w:r>
          </w:p>
        </w:tc>
        <w:tc>
          <w:tcPr>
            <w:tcW w:type="dxa" w:w="7704"/>
            <w:vAlign w:val="center"/>
            <w:tcMar>
              <w:top w:w="90" w:type="dxa"/>
              <w:bottom w:w="90" w:type="dxa"/>
              <w:left w:w="110" w:type="dxa"/>
              <w:right w:w="110" w:type="dxa"/>
            </w:tcMar>
          </w:tcPr>
          <w:p>
            <w:pPr>
              <w:spacing w:after="60"/>
            </w:pPr>
            <w:r>
              <w:rPr>
                <w:sz w:val="18"/>
              </w:rPr>
              <w:t>_id ObjectId</w:t>
              <w:br/>
              <w:t>cuenta_corriente_id ObjectId</w:t>
              <w:br/>
              <w:t>tipo, referencia_id, descripcion String</w:t>
              <w:br/>
              <w:t>importe Decimal128</w:t>
              <w:br/>
              <w:t>fecha Date</w:t>
            </w:r>
          </w:p>
        </w:tc>
      </w:tr>
      <w:tr>
        <w:trPr/>
        <w:tc>
          <w:tcPr>
            <w:tcW w:type="dxa" w:w="2232"/>
            <w:vAlign w:val="center"/>
            <w:tcMar>
              <w:top w:w="90" w:type="dxa"/>
              <w:bottom w:w="90" w:type="dxa"/>
              <w:left w:w="110" w:type="dxa"/>
              <w:right w:w="110" w:type="dxa"/>
            </w:tcMar>
          </w:tcPr>
          <w:p>
            <w:pPr>
              <w:spacing w:after="60"/>
            </w:pPr>
            <w:r>
              <w:rPr>
                <w:sz w:val="18"/>
              </w:rPr>
              <w:t>aperturas_cuenta_corriente</w:t>
            </w:r>
          </w:p>
        </w:tc>
        <w:tc>
          <w:tcPr>
            <w:tcW w:type="dxa" w:w="7704"/>
            <w:vAlign w:val="center"/>
            <w:tcMar>
              <w:top w:w="90" w:type="dxa"/>
              <w:bottom w:w="90" w:type="dxa"/>
              <w:left w:w="110" w:type="dxa"/>
              <w:right w:w="110" w:type="dxa"/>
            </w:tcMar>
          </w:tcPr>
          <w:p>
            <w:pPr>
              <w:spacing w:after="60"/>
            </w:pPr>
            <w:r>
              <w:rPr>
                <w:sz w:val="18"/>
              </w:rPr>
              <w:t>_id ObjectId</w:t>
              <w:br/>
              <w:t>cuenta_corriente_id ObjectId</w:t>
              <w:br/>
              <w:t>anio y mes Int32</w:t>
              <w:br/>
              <w:t>saldo_inicial Decimal128</w:t>
            </w:r>
          </w:p>
        </w:tc>
      </w:tr>
      <w:tr>
        <w:trPr/>
        <w:tc>
          <w:tcPr>
            <w:tcW w:type="dxa" w:w="2232"/>
            <w:vAlign w:val="center"/>
            <w:tcMar>
              <w:top w:w="90" w:type="dxa"/>
              <w:bottom w:w="90" w:type="dxa"/>
              <w:left w:w="110" w:type="dxa"/>
              <w:right w:w="110" w:type="dxa"/>
            </w:tcMar>
          </w:tcPr>
          <w:p>
            <w:pPr>
              <w:spacing w:after="60"/>
            </w:pPr>
            <w:r>
              <w:rPr>
                <w:sz w:val="18"/>
              </w:rPr>
              <w:t>cierres_mensuales_cuenta_corriente</w:t>
            </w:r>
          </w:p>
        </w:tc>
        <w:tc>
          <w:tcPr>
            <w:tcW w:type="dxa" w:w="7704"/>
            <w:vAlign w:val="center"/>
            <w:tcMar>
              <w:top w:w="90" w:type="dxa"/>
              <w:bottom w:w="90" w:type="dxa"/>
              <w:left w:w="110" w:type="dxa"/>
              <w:right w:w="110" w:type="dxa"/>
            </w:tcMar>
          </w:tcPr>
          <w:p>
            <w:pPr>
              <w:spacing w:after="60"/>
            </w:pPr>
            <w:r>
              <w:rPr>
                <w:sz w:val="18"/>
              </w:rPr>
              <w:t>_id ObjectId</w:t>
              <w:br/>
              <w:t>cuenta_corriente_id ObjectId</w:t>
              <w:br/>
              <w:t>anio y mes Int32</w:t>
              <w:br/>
              <w:t>saldo_inicial, total_debitos, total_creditos, saldo_final Decimal128</w:t>
              <w:br/>
              <w:t>fecha_cierre Date</w:t>
            </w:r>
          </w:p>
        </w:tc>
      </w:tr>
      <w:tr>
        <w:trPr/>
        <w:tc>
          <w:tcPr>
            <w:tcW w:type="dxa" w:w="2232"/>
            <w:vAlign w:val="center"/>
            <w:tcMar>
              <w:top w:w="90" w:type="dxa"/>
              <w:bottom w:w="90" w:type="dxa"/>
              <w:left w:w="110" w:type="dxa"/>
              <w:right w:w="110" w:type="dxa"/>
            </w:tcMar>
          </w:tcPr>
          <w:p>
            <w:pPr>
              <w:spacing w:after="60"/>
            </w:pPr>
            <w:r>
              <w:rPr>
                <w:sz w:val="18"/>
              </w:rPr>
              <w:t>contadores</w:t>
            </w:r>
          </w:p>
        </w:tc>
        <w:tc>
          <w:tcPr>
            <w:tcW w:type="dxa" w:w="7704"/>
            <w:vAlign w:val="center"/>
            <w:tcMar>
              <w:top w:w="90" w:type="dxa"/>
              <w:bottom w:w="90" w:type="dxa"/>
              <w:left w:w="110" w:type="dxa"/>
              <w:right w:w="110" w:type="dxa"/>
            </w:tcMar>
          </w:tcPr>
          <w:p>
            <w:pPr>
              <w:spacing w:after="60"/>
            </w:pPr>
            <w:r>
              <w:rPr>
                <w:sz w:val="18"/>
              </w:rPr>
              <w:t>_id String</w:t>
              <w:br/>
              <w:t>secuencia Int32 al crear mediante inc de 1; los lectores Java aceptan Number</w:t>
            </w:r>
          </w:p>
        </w:tc>
      </w:tr>
    </w:tbl>
    <w:p/>
    <w:p>
      <w:pPr>
        <w:pStyle w:val="Heading2"/>
      </w:pPr>
      <w:r>
        <w:rPr>
          <w:color w:val="000000"/>
        </w:rPr>
        <w:t>Comunicaciones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blHeader/>
        </w:trPr>
        <w:tc>
          <w:tcPr>
            <w:tcW w:type="dxa" w:w="223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Colección</w:t>
            </w:r>
          </w:p>
        </w:tc>
        <w:tc>
          <w:tcPr>
            <w:tcW w:type="dxa" w:w="770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Campos persistidos</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conversaciones</w:t>
            </w:r>
          </w:p>
        </w:tc>
        <w:tc>
          <w:tcPr>
            <w:tcW w:type="dxa" w:w="770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_id ObjectId</w:t>
              <w:br/>
              <w:t>nombre String</w:t>
              <w:br/>
              <w:t>tipo String</w:t>
              <w:br/>
              <w:t>participantes_ids Array&lt;String&gt;</w:t>
              <w:br/>
              <w:t>fecha_creacion Date</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mensajes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_id ObjectId</w:t>
              <w:br/>
              <w:t>conversacion_id String</w:t>
              <w:br/>
              <w:t>remitente_id String</w:t>
              <w:br/>
              <w:t>contenido String</w:t>
              <w:br/>
              <w:t>fecha_envio Date</w:t>
            </w:r>
          </w:p>
        </w:tc>
      </w:tr>
    </w:tbl>
    <w:p/>
    <w:p>
      <w:r>
        <w:t>cliente_id de Usuario admite null según el rol. En conversaciones y mensajes, los IDs se guardan como texto; en las referencias comerciales y de sensor se utiliza ObjectId. envio_id de eventos e incidentes es String y apunta al nodo Envio de Neo4j. El campo opcional envio_asignado de Contenedor identifica la reserva activa. [E05, E06, E09]</w:t>
      </w:r>
    </w:p>
    <w:p>
      <w:pPr/>
      <w:r>
        <w:t>movimientos_cuenta_corriente, aperturas_cuenta_corriente y cierres_mensuales_cuenta_corriente referencian cuentas_corrientes mediante ObjectId. contadores usa como _id el nombre del maestro: clientes, contenedores o sensores. [E05, E29]</w:t>
      </w:r>
    </w:p>
    <w:p>
      <w:pPr>
        <w:pStyle w:val="Heading2"/>
      </w:pPr>
      <w:r>
        <w:rPr>
          <w:color w:val="000000"/>
        </w:rPr>
        <w:t>Relaciones e integridad documental</w:t>
      </w:r>
    </w:p>
    <w:p>
      <w:r>
        <w:t>Las referencias MongoDB apuntan a _id. Las referencias a Envio apuntan a su id en Neo4j. [E05]</w:t>
      </w:r>
    </w:p>
    <w:p>
      <w:pPr>
        <w:spacing w:after="60"/>
      </w:pPr>
      <w:r>
        <w:t>Usuarios: cliente_id ObjectId o null a Clientes y rol_id ObjectId a Roles.</w:t>
      </w:r>
    </w:p>
    <w:p>
      <w:pPr>
        <w:spacing w:after="60"/>
      </w:pPr>
      <w:r>
        <w:t>Sensores: contenedor_id ObjectId a Contenedores.</w:t>
      </w:r>
    </w:p>
    <w:p>
      <w:pPr>
        <w:spacing w:after="60"/>
      </w:pPr>
      <w:r>
        <w:t>Eventos e incidentes: envio_id String a Envio de Neo4j.</w:t>
      </w:r>
    </w:p>
    <w:p>
      <w:pPr>
        <w:spacing w:after="60"/>
      </w:pPr>
      <w:r>
        <w:t>Alertas: sensor_id y evento_id ObjectId a Sensores y EventosLogisticos.</w:t>
      </w:r>
    </w:p>
    <w:p>
      <w:pPr>
        <w:spacing w:after="60"/>
      </w:pPr>
      <w:r>
        <w:t>Reportes: usuario_id ObjectId a Usuarios.</w:t>
      </w:r>
    </w:p>
    <w:p>
      <w:pPr>
        <w:spacing w:after="60"/>
      </w:pPr>
      <w:r>
        <w:t>Facturas y cuentas corrientes: cliente_id ObjectId a Clientes; pagos: factura_id ObjectId a Facturas.</w:t>
      </w:r>
    </w:p>
    <w:p>
      <w:pPr>
        <w:spacing w:after="60"/>
      </w:pPr>
      <w:r>
        <w:t>Conversaciones: participantes_ids String a Usuarios; mensajes: conversacion_id y remitente_id String a Conversaciones y Usuarios.</w:t>
      </w:r>
    </w:p>
    <w:p>
      <w:pPr>
        <w:spacing w:after="60"/>
      </w:pPr>
      <w:r>
        <w:t>Contenedores: envio_asignado String opcional a Envio de Neo4j.</w:t>
      </w:r>
    </w:p>
    <w:p>
      <w:r>
        <w:t>Las referencias son lógicas, sin claves foráneas del servidor. UsuarioService verifica formato y existencia del rol y del cliente asociado, y rechaza un cliente que ya tenga usuario. Esa comprobación Java no equivale a un índice único de cliente_id en usuarios. [E05, E06]</w:t>
      </w:r>
    </w:p>
    <w:p>
      <w:pPr>
        <w:pStyle w:val="Heading2"/>
      </w:pPr>
      <w:r>
        <w:rPr>
          <w:color w:val="000000"/>
        </w:rPr>
        <w:t>Índices restricciones y particionamiento</w:t>
      </w:r>
    </w:p>
    <w:p>
      <w:r>
        <w:t>CuentaCorrienteService crea un índice único sobre cuenta_corriente_id, anio y mes para aperturas; CierreMensualCuentaCorrienteMongoDAO declara el equivalente para cierres. MovimientoCuentaCorrienteMongoDAO declara un índice único sobre cuenta_corriente_id, tipo y referencia_id, parcial para referencia_id de tipo String. El script MongoDB reproduce los tres índices. No se declaran validadores JSON Schema ni sharding. El compose local declara --replSet rs0, sin inicialización automática rs.initiate en los archivos revisados. [E04, E05, E29]</w:t>
      </w:r>
    </w:p>
    <w:p>
      <w:r>
        <w:t>Los servicios comprueban CUIT y email repetidos y capacidad positiva y finita. ClienteMongoDAO, ContenedorMongoDAO y SensorMongoDAO generan CLI-%03d, CONT-%03d y SEN-%03d con incrementos atómicos en contadores y conservan el código al modificar. No hay índices únicos adicionales para esos códigos, CUIT o email. RolService consulta roles; no expone su alta. [E05, E06]</w:t>
      </w:r>
    </w:p>
    <w:p>
      <w:r>
        <w:t>contraseña_encriptada guarda el texto recibido y AutenticacionService lo compara como texto. El nombre del campo no significa que exista hash o cifrado implementado. [E06, E17]</w:t>
      </w:r>
    </w:p>
    <w:p>
      <w:pPr>
        <w:pStyle w:val="Heading1"/>
        <w:pageBreakBefore/>
      </w:pPr>
      <w:r>
        <w:rPr>
          <w:color w:val="000000"/>
        </w:rPr>
        <w:t>Modelo físico de Neo4j</w:t>
      </w:r>
    </w:p>
    <w:p>
      <w:r>
        <w:t>El grafo vigente tiene las etiquetas y vínculos del diagrama. Los atributos de cada nodo y las consultas se detallan en modeloNeo4j.txt. Cliente, Contenedor y Vehiculo pueden crearse solo con su ID en algunos MERGE; no todos los nodos tienen necesariamente todos los atributos de los datos de prueba. [E07, E08, E23]</w:t>
      </w:r>
    </w:p>
    <w:p>
      <w:pPr>
        <w:keepNext/>
      </w:pPr>
      <w:r>
        <w:drawing>
          <wp:inline xmlns:a="http://schemas.openxmlformats.org/drawingml/2006/main" xmlns:pic="http://schemas.openxmlformats.org/drawingml/2006/picture">
            <wp:extent cx="6309360" cy="4056017"/>
            <wp:docPr id="1" name="Picture 1" descr="neo4jDiagrama actualizado según código local del 20/10/2026"/>
            <wp:cNvGraphicFramePr>
              <a:graphicFrameLocks noChangeAspect="1"/>
            </wp:cNvGraphicFramePr>
            <a:graphic>
              <a:graphicData uri="http://schemas.openxmlformats.org/drawingml/2006/picture">
                <pic:pic>
                  <pic:nvPicPr>
                    <pic:cNvPr id="0" name="neo4jDiagrama.png"/>
                    <pic:cNvPicPr/>
                  </pic:nvPicPr>
                  <pic:blipFill>
                    <a:blip r:embed="rId10"/>
                    <a:stretch>
                      <a:fillRect/>
                    </a:stretch>
                  </pic:blipFill>
                  <pic:spPr>
                    <a:xfrm>
                      <a:off x="0" y="0"/>
                      <a:ext cx="6309360" cy="4056017"/>
                    </a:xfrm>
                    <a:prstGeom prst="rect"/>
                  </pic:spPr>
                </pic:pic>
              </a:graphicData>
            </a:graphic>
          </wp:inline>
        </w:drawing>
      </w:r>
    </w:p>
    <w:p>
      <w:pPr>
        <w:spacing w:after="160"/>
      </w:pPr>
      <w:r>
        <w:rPr>
          <w:i/>
          <w:sz w:val="18"/>
        </w:rPr>
        <w:t>Figura 1. Nodos y relaciones implementados en GrafoNeo4jDAO y EnvioNeo4jDAO. [E07, E08, E23]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tblHeader/>
          <w:cantSplit/>
          <w:tblHeader/>
        </w:trPr>
        <w:tc>
          <w:tcPr>
            <w:tcW w:type="dxa" w:w="187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Etiqueta</w:t>
            </w:r>
          </w:p>
        </w:tc>
        <w:tc>
          <w:tcPr>
            <w:tcW w:type="dxa" w:w="806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Propiedades escritas y alcance</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Envio</w:t>
            </w:r>
          </w:p>
        </w:tc>
        <w:tc>
          <w:tcPr>
            <w:tcW w:type="dxa" w:w="8064"/>
            <w:vAlign w:val="center"/>
            <w:tcMar>
              <w:top w:w="65" w:type="dxa"/>
              <w:bottom w:w="65" w:type="dxa"/>
              <w:left w:w="80" w:type="dxa"/>
              <w:right w:w="80" w:type="dxa"/>
              <w:top w:w="90" w:type="dxa"/>
              <w:bottom w:w="90" w:type="dxa"/>
              <w:left w:w="110" w:type="dxa"/>
              <w:right w:w="110" w:type="dxa"/>
            </w:tcMar>
          </w:tcPr>
          <w:p>
            <w:pPr>
              <w:spacing w:after="60"/>
            </w:pPr>
            <w:r>
              <w:rPr>
                <w:sz w:val="18"/>
              </w:rPr>
              <w:t>id, fechaCreacion, fechaSalida, fechaEntrega, estado y prioridad: String. fechaCreacion usa ISO Instant; salida y entrega usan AAAA-MM-DD cuando se informan. costoEnvio: Double.</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Ubicacion</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clave, ciudad, pais: String. La clave es ciudad|pais con trim y minúsculas. La carga de prueba también crea IDs UBI-xxx en algunos nodos.</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Cliente</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id: String. razonSocial y cuit al escribir un cliente completo o sincronizar datos de prueba.</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Contenedor</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id: String. codigo y tipo en datos de prueba.</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Vehiculo</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id, patente y tipo: String. identificacion también aparece en los nodos de prueba.</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Sensor</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id y tipo: String en los datos de prueba.</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Operador y Proveedor</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id y nombre: String en los datos de prueba; vínculos OPERA y PROVEE.</w:t>
            </w:r>
          </w:p>
        </w:tc>
      </w:tr>
    </w:tbl>
    <w:p/>
    <w:p>
      <w:r>
        <w:t>No se repite clienteId ni los atributos ciudadOrigen, paisOrigen, ciudadDestino o paisDestino en Envio. Las consultas listarTodos y buscarPorId devuelven esos datos a la interfaz mediante REALIZA, SALE_DE y LLEGA_A. Las relaciones no guardan propiedades en las escrituras actuales. [E07]</w:t>
      </w:r>
    </w:p>
    <w:p>
      <w:pPr>
        <w:pStyle w:val="Heading2"/>
      </w:pPr>
      <w:r>
        <w:rPr>
          <w:color w:val="000000"/>
        </w:rPr>
        <w:t>Identificadores y restricciones</w:t>
      </w:r>
    </w:p>
    <w:p>
      <w:r>
        <w:t>Los envíos usan ENV-001 a ENV-008 en los datos de prueba. Las altas del formulario obtienen el mayor número ENV existente y generan el siguiente ENV-%03d. No hay bloqueo global ni restricción de unicidad física que garantice ese cálculo ante altas concurrentes. [E11, E23]</w:t>
      </w:r>
    </w:p>
    <w:p>
      <w:r>
        <w:t>Las referencias de Cliente, Contenedor y Vehiculo de prueba se convierten a IDs MongoDB como texto. Sensor SEN-xxx, Operador OP-xxx y Proveedor PROV-xxx conservan los identificadores propios del generador. No se declaran CREATE CONSTRAINT o CREATE INDEX en los DAO ni en el generador Neo4j. MERGE no sustituye una restricción de unicidad. [E07, E08, E23]</w:t>
      </w:r>
    </w:p>
    <w:p>
      <w:r>
        <w:t>El modelo y la interfaz permiten una lista de contenedores por envío; la carga de prueba usa uno por envío. El nodo de ubicación se reutiliza por clave. No hay estrategia explícita de particionamiento del grafo en el proyecto. [E07, E11]</w:t>
      </w:r>
    </w:p>
    <w:p>
      <w:pPr/>
      <w:r>
        <w:t>fechaSalida y fechaEntrega se validan como LocalDate cuando se informan y salida no puede ser posterior a entrega. El formulario convierte costoEnvio con Double.parseDouble; no comprueba allí signo o finitud. El reporte de costos sí descarta valores negativos o no finitos. [E10, E11, E30]</w:t>
      </w:r>
    </w:p>
    <w:p>
      <w:pPr>
        <w:pStyle w:val="Heading2"/>
      </w:pPr>
      <w:r>
        <w:rPr>
          <w:color w:val="000000"/>
        </w:rPr>
        <w:t>Consultas de trazabilidad</w:t>
      </w:r>
    </w:p>
    <w:p>
      <w:r>
        <w:t>obtenerRutaEnvio devuelve las ciudades de origen y destino ordenadas por ciudad. obtenerRecorridoContenedor devuelve los envíos vinculados y sus ciudades; obtenerRedDeEnvio reúne cliente, vehículo, contenedor, sensor y ubicaciones. Esto describe el recorrido asociado actual y no una secuencia completa de tramos o una bitácora temporal de cambios de relaciones. [E08]</w:t>
      </w:r>
    </w:p>
    <w:p>
      <w:pPr>
        <w:spacing w:after="20" w:line="240" w:lineRule="auto"/>
      </w:pPr>
      <w:r>
        <w:rPr>
          <w:rFonts w:ascii="Courier New" w:hAnsi="Courier New"/>
          <w:sz w:val="18"/>
        </w:rPr>
        <w:t>MATCH (e:Envio {id: $id})</w:t>
      </w:r>
    </w:p>
    <w:p>
      <w:pPr>
        <w:spacing w:after="20" w:line="240" w:lineRule="auto"/>
      </w:pPr>
      <w:r>
        <w:rPr>
          <w:rFonts w:ascii="Courier New" w:hAnsi="Courier New"/>
          <w:sz w:val="18"/>
        </w:rPr>
        <w:t>OPTIONAL MATCH (e)-[:SALE_DE]-&gt;(origen:Ubicacion)</w:t>
      </w:r>
    </w:p>
    <w:p>
      <w:pPr>
        <w:spacing w:after="20" w:line="240" w:lineRule="auto"/>
      </w:pPr>
      <w:r>
        <w:rPr>
          <w:rFonts w:ascii="Courier New" w:hAnsi="Courier New"/>
          <w:sz w:val="18"/>
        </w:rPr>
        <w:t>OPTIONAL MATCH (e)-[:LLEGA_A]-&gt;(destino:Ubicacion)</w:t>
      </w:r>
    </w:p>
    <w:p>
      <w:pPr>
        <w:spacing w:after="20" w:line="240" w:lineRule="auto"/>
      </w:pPr>
      <w:r>
        <w:rPr>
          <w:rFonts w:ascii="Courier New" w:hAnsi="Courier New"/>
          <w:sz w:val="18"/>
        </w:rPr>
        <w:t>RETURN e.id, origen.ciudad, destino.ciudad</w:t>
      </w:r>
    </w:p>
    <w:p>
      <w:r>
        <w:t>La consulta anterior ilustra las relaciones implementadas; el parámetro id debe ser el identificador real del envío. normalizarEnviosExistentes conserva o recupera las relaciones a partir de las propiedades antiguas antes de quitar las copias y se ejecuta desde DatosPruebaTotal. [E07, E23]</w:t>
      </w:r>
    </w:p>
    <w:p>
      <w:pPr>
        <w:pStyle w:val="Heading1"/>
        <w:pageBreakBefore/>
      </w:pPr>
      <w:r>
        <w:rPr>
          <w:color w:val="000000"/>
        </w:rPr>
        <w:t>Modelo físico de Cassandra</w:t>
      </w:r>
    </w:p>
    <w:p>
      <w:r>
        <w:t>CassandraSingleton crea logistica con SimpleStrategy y replication_factor 1. CrearTablasMonitoreo declara cuatro tablas, sin índices secundarios. sensor_id y contenedor_id son text y se reciben como String desde Java. Scriptcassandra.txt reproduce el DDL de creación. [E12]</w:t>
      </w:r>
    </w:p>
    <w:p>
      <w:pPr>
        <w:keepNext/>
      </w:pPr>
      <w:r>
        <w:drawing>
          <wp:inline xmlns:a="http://schemas.openxmlformats.org/drawingml/2006/main" xmlns:pic="http://schemas.openxmlformats.org/drawingml/2006/picture">
            <wp:extent cx="6309360" cy="4056017"/>
            <wp:docPr id="2" name="Picture 2" descr="ChebotkoCassandra actualizado según código local del 20/10/2026"/>
            <wp:cNvGraphicFramePr>
              <a:graphicFrameLocks noChangeAspect="1"/>
            </wp:cNvGraphicFramePr>
            <a:graphic>
              <a:graphicData uri="http://schemas.openxmlformats.org/drawingml/2006/picture">
                <pic:pic>
                  <pic:nvPicPr>
                    <pic:cNvPr id="0" name="ChebotkoCassandra.png"/>
                    <pic:cNvPicPr/>
                  </pic:nvPicPr>
                  <pic:blipFill>
                    <a:blip r:embed="rId11"/>
                    <a:stretch>
                      <a:fillRect/>
                    </a:stretch>
                  </pic:blipFill>
                  <pic:spPr>
                    <a:xfrm>
                      <a:off x="0" y="0"/>
                      <a:ext cx="6309360" cy="4056017"/>
                    </a:xfrm>
                    <a:prstGeom prst="rect"/>
                  </pic:spPr>
                </pic:pic>
              </a:graphicData>
            </a:graphic>
          </wp:inline>
        </w:drawing>
      </w:r>
    </w:p>
    <w:p>
      <w:pPr>
        <w:spacing w:after="160"/>
      </w:pPr>
      <w:r>
        <w:t>Figura 2. Claves de partición, clustering y escrituras de las cuatro tablas Cassandra. [E12, E13]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024"/>
      </w:tblGrid>
      <w:tr>
        <w:trPr>
          <w:tblHeader/>
          <w:cantSplit/>
          <w:tblHeader/>
        </w:trPr>
        <w:tc>
          <w:tcPr>
            <w:tcW w:type="dxa" w:w="345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Tabla</w:t>
            </w:r>
          </w:p>
        </w:tc>
        <w:tc>
          <w:tcPr>
            <w:tcW w:type="dxa" w:w="345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Partición</w:t>
            </w:r>
          </w:p>
        </w:tc>
        <w:tc>
          <w:tcPr>
            <w:tcW w:type="dxa" w:w="302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Clustering</w:t>
            </w:r>
          </w:p>
        </w:tc>
      </w:tr>
      <w:tr>
        <w:trPr>
          <w:cantSplit/>
        </w:trPr>
        <w:tc>
          <w:tcPr>
            <w:tcW w:type="dxa" w:w="345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lecturas_sensor</w:t>
            </w:r>
          </w:p>
        </w:tc>
        <w:tc>
          <w:tcPr>
            <w:tcW w:type="dxa" w:w="345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sensor_id y fecha_dia</w:t>
            </w:r>
          </w:p>
        </w:tc>
        <w:tc>
          <w:tcPr>
            <w:tcW w:type="dxa" w:w="302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fecha_hora DESC</w:t>
            </w:r>
          </w:p>
        </w:tc>
      </w:tr>
      <w:tr>
        <w:trPr>
          <w:cantSplit/>
        </w:trPr>
        <w:tc>
          <w:tcPr>
            <w:tcW w:type="dxa" w:w="34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metricas_iot_region_dia</w:t>
            </w:r>
          </w:p>
        </w:tc>
        <w:tc>
          <w:tcPr>
            <w:tcW w:type="dxa" w:w="34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region</w:t>
            </w:r>
          </w:p>
        </w:tc>
        <w:tc>
          <w:tcPr>
            <w:tcW w:type="dxa" w:w="302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fecha_dia DESC</w:t>
            </w:r>
          </w:p>
        </w:tc>
      </w:tr>
      <w:tr>
        <w:trPr>
          <w:cantSplit/>
        </w:trPr>
        <w:tc>
          <w:tcPr>
            <w:tcW w:type="dxa" w:w="34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metricas_iot_pais_dia</w:t>
            </w:r>
          </w:p>
        </w:tc>
        <w:tc>
          <w:tcPr>
            <w:tcW w:type="dxa" w:w="34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pais</w:t>
            </w:r>
          </w:p>
        </w:tc>
        <w:tc>
          <w:tcPr>
            <w:tcW w:type="dxa" w:w="302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fecha_dia DESC</w:t>
            </w:r>
          </w:p>
        </w:tc>
      </w:tr>
      <w:tr>
        <w:trPr/>
        <w:tc>
          <w:tcPr>
            <w:tcW w:type="dxa" w:w="3456"/>
            <w:vAlign w:val="center"/>
            <w:tcMar>
              <w:top w:w="90" w:type="dxa"/>
              <w:bottom w:w="90" w:type="dxa"/>
              <w:left w:w="110" w:type="dxa"/>
              <w:right w:w="110" w:type="dxa"/>
            </w:tcMar>
          </w:tcPr>
          <w:p>
            <w:pPr>
              <w:spacing w:after="60"/>
            </w:pPr>
            <w:r>
              <w:rPr>
                <w:sz w:val="18"/>
              </w:rPr>
              <w:t>posiciones_sensor</w:t>
            </w:r>
          </w:p>
        </w:tc>
        <w:tc>
          <w:tcPr>
            <w:tcW w:type="dxa" w:w="3456"/>
            <w:vAlign w:val="center"/>
            <w:tcMar>
              <w:top w:w="90" w:type="dxa"/>
              <w:bottom w:w="90" w:type="dxa"/>
              <w:left w:w="110" w:type="dxa"/>
              <w:right w:w="110" w:type="dxa"/>
            </w:tcMar>
          </w:tcPr>
          <w:p>
            <w:pPr>
              <w:spacing w:after="60"/>
            </w:pPr>
            <w:r>
              <w:rPr>
                <w:sz w:val="18"/>
              </w:rPr>
              <w:t>sensor_id</w:t>
            </w:r>
          </w:p>
        </w:tc>
        <w:tc>
          <w:tcPr>
            <w:tcW w:type="dxa" w:w="3024"/>
            <w:vAlign w:val="center"/>
            <w:tcMar>
              <w:top w:w="90" w:type="dxa"/>
              <w:bottom w:w="90" w:type="dxa"/>
              <w:left w:w="110" w:type="dxa"/>
              <w:right w:w="110" w:type="dxa"/>
            </w:tcMar>
          </w:tcPr>
          <w:p>
            <w:pPr>
              <w:spacing w:after="60"/>
            </w:pPr>
            <w:r>
              <w:rPr>
                <w:sz w:val="18"/>
              </w:rPr>
              <w:t>fecha_hora DESC</w:t>
            </w:r>
          </w:p>
        </w:tc>
      </w:tr>
    </w:tbl>
    <w:p/>
    <w:p>
      <w:r>
        <w:t>lecturas_sensor contiene sensor_id y contenedor_id text; fecha_dia date; fecha_hora timestamp; temperatura, humedad, vibracion, latitud, longitud y bateria decimal; pais y region text. La clave completa identifica la lectura. No hay un ID de lectura separado. [E12]</w:t>
      </w:r>
    </w:p>
    <w:p>
      <w:r>
        <w:t>metricas_iot_region_dia contiene region text, fecha_dia date, temperatura_min, temperatura_max y humedad_promedio decimal y cantidad_lecturas bigint. metricas_iot_pais_dia contiene pais text, fecha_dia date, humedad_promedio y temperatura_promedio decimal y cantidad_lecturas bigint. [E12]</w:t>
      </w:r>
    </w:p>
    <w:p>
      <w:pPr/>
      <w:r>
        <w:t>posiciones_sensor contiene sensor_id y contenedor_id text, fecha_hora timestamp, latitud y longitud decimal, pais y region text. Su clave es ((sensor_id), fecha_hora). Duplica la proyección GPS para consultar posiciones sin recuperar todas las mediciones IoT. [E12, E13, E14]</w:t>
      </w:r>
    </w:p>
    <w:p>
      <w:pPr>
        <w:keepNext/>
      </w:pPr>
      <w:r>
        <w:drawing>
          <wp:inline xmlns:a="http://schemas.openxmlformats.org/drawingml/2006/main" xmlns:pic="http://schemas.openxmlformats.org/drawingml/2006/picture">
            <wp:extent cx="5486400" cy="3526971"/>
            <wp:docPr id="3" name="Picture 3" descr="EntidadRelacionCassandra actualizado según código local del 20/10/2026"/>
            <wp:cNvGraphicFramePr>
              <a:graphicFrameLocks noChangeAspect="1"/>
            </wp:cNvGraphicFramePr>
            <a:graphic>
              <a:graphicData uri="http://schemas.openxmlformats.org/drawingml/2006/picture">
                <pic:pic>
                  <pic:nvPicPr>
                    <pic:cNvPr id="0" name="EntidadRelacionCassandra.png"/>
                    <pic:cNvPicPr/>
                  </pic:nvPicPr>
                  <pic:blipFill>
                    <a:blip r:embed="rId12"/>
                    <a:stretch>
                      <a:fillRect/>
                    </a:stretch>
                  </pic:blipFill>
                  <pic:spPr>
                    <a:xfrm>
                      <a:off x="0" y="0"/>
                      <a:ext cx="5486400" cy="3526971"/>
                    </a:xfrm>
                    <a:prstGeom prst="rect"/>
                  </pic:spPr>
                </pic:pic>
              </a:graphicData>
            </a:graphic>
          </wp:inline>
        </w:drawing>
      </w:r>
    </w:p>
    <w:p>
      <w:pPr>
        <w:spacing w:after="160"/>
      </w:pPr>
      <w:r>
        <w:t>Figura 3. Referencias de lecturas y posiciones Cassandra hacia los maestros MongoDB. Las referencias no son claves foráneas. [E05, E12, E24]</w:t>
      </w:r>
    </w:p>
    <w:p>
      <w:pPr>
        <w:pStyle w:val="Heading2"/>
      </w:pPr>
      <w:r>
        <w:rPr>
          <w:color w:val="000000"/>
        </w:rPr>
        <w:t>Particiones consultas y controles</w:t>
      </w:r>
    </w:p>
    <w:p>
      <w:r>
        <w:t>La partición sensor y día delimita el historial de lecturas. posiciones_sensor agrupa todas las posiciones de un sensor sin corte diario; las métricas agrupan días por región o país. No se define TTL en el DDL ni nivel de consistencia por consulta. [E12, E14]</w:t>
      </w:r>
    </w:p>
    <w:p>
      <w:r>
        <w:t>El DAO expone historial diario, rango horario, temperaturas, batería y métricas por región o país. GPS utiliza posiciones_sensor: por sensor y día consulta fecha_hora en el intervalo UTC [inicio del día, inicio del siguiente). El mapa obtiene todas las posiciones mediante SELECT * y filtra el sensor en Java. Cambiar el selector no ejecuta una consulta CQL restringida a ese sensor. [E14, E15]</w:t>
      </w:r>
    </w:p>
    <w:p>
      <w:r>
        <w:t>MonitoreoInsertService exige sensor, contenedor, fechas, temperatura, humedad, batería, país y región; humedad y batería deben estar entre 0 y 100 y la vibración no puede ser negativa. No comprueba la existencia o asociación sensor-contenedor en MongoDB. El mapa descarta coordenadas fuera de los rangos geográficos al procesar los puntos. [E14, E15]</w:t>
      </w:r>
    </w:p>
    <w:p>
      <w:pPr>
        <w:pStyle w:val="Heading2"/>
      </w:pPr>
      <w:r>
        <w:rPr>
          <w:color w:val="000000"/>
        </w:rPr>
        <w:t>Cálculo de métricas</w:t>
      </w:r>
    </w:p>
    <w:p>
      <w:r>
        <w:t>InsertarCassandraMonitoreo escribe lecturas_sensor, después posiciones_sensor y luego actualiza región y país por separado. Los promedios ponderan por cantidad y redondean a cuatro decimales con HALF_UP. Reinserciones pueden contarse nuevamente y escrituras concurrentes pueden perder incrementos. No hay LWT, counters ni transacción común a las cuatro tablas. [E13]</w:t>
      </w:r>
    </w:p>
    <w:p>
      <w:pPr>
        <w:pStyle w:val="Heading1"/>
        <w:pageBreakBefore/>
      </w:pPr>
      <w:r>
        <w:rPr>
          <w:color w:val="000000"/>
        </w:rPr>
        <w:t>Modelo físico de Redis y gestión de sesiones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blHeader/>
        </w:trPr>
        <w:tc>
          <w:tcPr>
            <w:tcW w:type="dxa" w:w="223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Elemento</w:t>
            </w:r>
          </w:p>
        </w:tc>
        <w:tc>
          <w:tcPr>
            <w:tcW w:type="dxa" w:w="770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Implementación</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Clave</w:t>
            </w:r>
          </w:p>
        </w:tc>
        <w:tc>
          <w:tcPr>
            <w:tcW w:type="dxa" w:w="770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sesion:&lt;idUsuarioMongo&gt;</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Tipo y valor</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String con valor activa</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Vencimiento</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1800 segundos al crear o renovar</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Operaciones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SETEX, EXISTS, DEL, EXPIRE, TTL y SCAN</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Lista de sesiones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SCAN MATCH sesion:* COUNT 100; cursor hasta 0; se incluye TTL &gt;= 0</w:t>
            </w:r>
          </w:p>
        </w:tc>
      </w:tr>
      <w:tr>
        <w:trPr>
          <w:cantSplit/>
        </w:trPr>
        <w:tc>
          <w:tcPr>
            <w:tcW w:type="dxa" w:w="223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Restricciones</w:t>
            </w:r>
          </w:p>
        </w:tc>
        <w:tc>
          <w:tcPr>
            <w:tcW w:type="dxa" w:w="77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Validación de ID no vacío en servicios; sin clave foránea a MongoDB.</w:t>
            </w:r>
          </w:p>
        </w:tc>
      </w:tr>
    </w:tbl>
    <w:p/>
    <w:p>
      <w:r>
        <w:t>El ID del usuario es la identidad de la sesión en Redis. No se guardan registros de inicio y fin o sesiones distintas por dispositivo. La sesión vence o se elimina, y la tabla de administración conserva el ID para cerrar y actualizar el TTL. La visualización usa el mail del usuario mediante un renderer. [E16, E27]</w:t>
      </w:r>
    </w:p>
    <w:p>
      <w:r>
        <w:t>Docker Compose configura contraseña y volumen redis_data; la conexión usa Jedis con AUTH. No hay configuración explícita de particionamiento, AOF o réplica. [E04, E28]</w:t>
      </w:r>
    </w:p>
    <w:p>
      <w:pPr>
        <w:pStyle w:val="Heading2"/>
      </w:pPr>
      <w:r>
        <w:rPr>
          <w:color w:val="000000"/>
        </w:rPr>
        <w:t>Autenticación y permisos</w:t>
      </w:r>
    </w:p>
    <w:p>
      <w:r>
        <w:t>AutenticacionService busca el usuario por email normalizado, exige estado ACTIVO y compara la contraseña con el texto almacenado. PermisosService usa la descripción del rol, no el número nivel_permisos, para permitir vistas: Administrador accede a todas; Operador y Cliente tienen listas de vistas específicas. PrincipalController comprueba el permiso al navegar. [E17, E03]</w:t>
      </w:r>
    </w:p>
    <w:p>
      <w:r>
        <w:t>Operador tiene acceso a envíos, clientes, contenedores, sensores, monitoreo, trazabilidad, seguimiento, GPS, seguimiento de envío, comunicaciones, riesgos, facturación, cuentas corrientes, vehículos y eventos logísticos. Cliente accede a envíos, reportes, comunicaciones, facturación, seguimiento de envío, riesgos y eventos logísticos. Administrador accede a todas las vistas. EnviosPanelController limita al cliente a consultar sus envíos; FacturacionPanelController local limita al cliente a sus facturas y bloquea su alta. La autorización de vistas no implica por sí sola autorización de cada llamada directa a un servicio. [E03, E11, E17, E19]</w:t>
      </w:r>
    </w:p>
    <w:p>
      <w:pPr>
        <w:pStyle w:val="Heading1"/>
        <w:pageBreakBefore/>
      </w:pPr>
      <w:r>
        <w:rPr>
          <w:color w:val="000000"/>
        </w:rPr>
        <w:t>Sincronización y consistencia entre bases</w:t>
      </w:r>
    </w:p>
    <w:p>
      <w:pPr>
        <w:pStyle w:val="Heading2"/>
      </w:pPr>
      <w:r>
        <w:rPr>
          <w:color w:val="000000"/>
        </w:rPr>
        <w:t>Guardar modificar y eliminar un envío</w:t>
      </w:r>
    </w:p>
    <w:p>
      <w:r>
        <w:t>LogisticaNeo4jService obtiene los contenedores anteriores del envío y delega en DisponibilidadContenedores. El coordinador verifica ocupación en otro envío, reserva cada contenedor mediante findOneAndUpdate en MongoDB y conserva el documento anterior. La reserva modifica estado a EN_USO y guarda envio_asignado. El propio contenedor de un envío puede mantenerse al editar, sujeto al filtro de reserva. [E09, E10]</w:t>
      </w:r>
    </w:p>
    <w:p>
      <w:pPr/>
      <w:r>
        <w:t>El selector ofrece DISPONIBLE y, al editar, permite mantener los propios EN_USO según propietario o asignación previa. El DAO de reserva también acepta ACTIVO como estado disponible; ese caso no aparece en el filtro del selector. [E09, E11]</w:t>
      </w:r>
    </w:p>
    <w:p>
      <w:r>
        <w:t>Después se guarda el envío y sus relaciones de cliente, contenedores y ubicaciones dentro de executeWrite de Neo4j. Si falla esa escritura, se restauran las reservas adquiridas. Tras guardarla, se liberan los contenedores que se quitaron y, si el envío no está EN_TRANSITO ni DEMORADO, los seleccionados. La reserva provisional durante el guardado permite validar también un envío PENDIENTE; el resultado final de ese estado es DISPONIBLE. [E07, E09]</w:t>
      </w:r>
    </w:p>
    <w:p>
      <w:r>
        <w:t>Para eliminar se recuperan las referencias del envío, se borra el nodo y se liberan los contenedores. Antes de liberar se comprueba que ningún otro envío EN_TRANSITO o DEMORADO los utilice; MongoDB también evita liberar una reserva de un propietario distinto. [E09, E10]</w:t>
      </w:r>
    </w:p>
    <w:p>
      <w:r>
        <w:t>guardarCompleto elimina también UTILIZA al reemplazar las relaciones del envío. El formulario vuelve a vincular el vehículo después del guardado. Esa operación posterior queda fuera de la transacción del envío; un fallo puede dejarlo sin vehículo. Las reservas MongoDB y las escrituras Neo4j no forman una transacción distribuida. [E07, E10, E11]</w:t>
      </w:r>
    </w:p>
    <w:p>
      <w:pPr>
        <w:pStyle w:val="Heading2"/>
      </w:pPr>
      <w:r>
        <w:rPr>
          <w:color w:val="000000"/>
        </w:rPr>
        <w:t>Referencias de datos de prueba</w:t>
      </w:r>
    </w:p>
    <w:p>
      <w:r>
        <w:t>GeneradorDatosPruebaNeo crea los nodos y luego resuelve clientes por CUIT, contenedores por codigo_internacional y vehículos por identificacion para sustituir los IDs de prueba por los IDs MongoDB. Se exige una única coincidencia por referencia. La reparación conserva los nodos y sus relaciones. No se implementa replicación automática de todas las modificaciones maestras; sensores, operadores y proveedores del generador no se sincronizan de esta manera. [E23]</w:t>
      </w:r>
    </w:p>
    <w:p>
      <w:pPr>
        <w:pStyle w:val="Heading2"/>
      </w:pPr>
      <w:r>
        <w:rPr>
          <w:color w:val="000000"/>
        </w:rPr>
        <w:t>Problemas identificados y mecanismos actuales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744"/>
      </w:tblGrid>
      <w:tr>
        <w:trPr>
          <w:tblHeader/>
          <w:cantSplit/>
          <w:tblHeader/>
        </w:trPr>
        <w:tc>
          <w:tcPr>
            <w:tcW w:type="dxa" w:w="230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Situación</w:t>
            </w:r>
          </w:p>
        </w:tc>
        <w:tc>
          <w:tcPr>
            <w:tcW w:type="dxa" w:w="388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Control existente</w:t>
            </w:r>
          </w:p>
        </w:tc>
        <w:tc>
          <w:tcPr>
            <w:tcW w:type="dxa" w:w="374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Límite que permanece</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Dos envíos intentan ocupar el mismo contenedor</w:t>
            </w:r>
          </w:p>
        </w:tc>
        <w:tc>
          <w:tcPr>
            <w:tcW w:type="dxa" w:w="388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Reserva atómica MongoDB y comprobación de envío activo. [E09]</w:t>
            </w:r>
          </w:p>
        </w:tc>
        <w:tc>
          <w:tcPr>
            <w:tcW w:type="dxa" w:w="374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No hay bloqueo distribuido de todas las operaciones.</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Falla la escritura Neo4j después de reservar</w:t>
            </w:r>
          </w:p>
        </w:tc>
        <w:tc>
          <w:tcPr>
            <w:tcW w:type="dxa" w:w="38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restauran documentos anteriores; errores de restauración se agregan al error original. [E09]</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La compensación puede fallar; no hay cola persistente de reintentos.</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Falla la liberación después de guardar o borrar</w:t>
            </w:r>
          </w:p>
        </w:tc>
        <w:tc>
          <w:tcPr>
            <w:tcW w:type="dxa" w:w="38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La actualización de estado ocurre después del éxito en Neo4j. [E09, E10]</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El envío puede quedar guardado o borrado con una reserva sin liberar.</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modifica un maestro MongoDB</w:t>
            </w:r>
          </w:p>
        </w:tc>
        <w:tc>
          <w:tcPr>
            <w:tcW w:type="dxa" w:w="38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mantienen referencias por ID; vehículo se sincroniza al asignarlo. [E10]</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No hay actualización general de las copias de nombre, código o tipo del grafo.</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elimina un envío con eventos o incidentes</w:t>
            </w:r>
          </w:p>
        </w:tc>
        <w:tc>
          <w:tcPr>
            <w:tcW w:type="dxa" w:w="38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elimina el nodo y se gestionan contenedores. [E10]</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No hay borrado en cascada de los documentos MongoDB que conservan envio_id.</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Reinserción o concurrencia de lectura IoT</w:t>
            </w:r>
          </w:p>
        </w:tc>
        <w:tc>
          <w:tcPr>
            <w:tcW w:type="dxa" w:w="3888"/>
            <w:vAlign w:val="center"/>
            <w:tcMar>
              <w:top w:w="65" w:type="dxa"/>
              <w:bottom w:w="65" w:type="dxa"/>
              <w:left w:w="80" w:type="dxa"/>
              <w:right w:w="80" w:type="dxa"/>
              <w:top w:w="90" w:type="dxa"/>
              <w:bottom w:w="90" w:type="dxa"/>
              <w:left w:w="110" w:type="dxa"/>
              <w:right w:w="110" w:type="dxa"/>
            </w:tcMar>
          </w:tcPr>
          <w:p>
            <w:pPr>
              <w:spacing w:after="60"/>
            </w:pPr>
            <w:r>
              <w:rPr>
                <w:sz w:val="18"/>
              </w:rPr>
              <w:t>Claves de lecturas/posiciones y agregados diarios. [E12, E13]</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Agregados sin idempotencia o LWT pueden desajustarse.</w:t>
            </w:r>
          </w:p>
        </w:tc>
      </w:tr>
      <w:tr>
        <w:trPr>
          <w:cantSplit/>
        </w:trPr>
        <w:tc>
          <w:tcPr>
            <w:tcW w:type="dxa" w:w="230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Usuario o rol eliminados o sesión vencida</w:t>
            </w:r>
          </w:p>
        </w:tc>
        <w:tc>
          <w:tcPr>
            <w:tcW w:type="dxa" w:w="38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Consultas de existencia y TTL según el flujo. [E16, E17]</w:t>
            </w:r>
          </w:p>
        </w:tc>
        <w:tc>
          <w:tcPr>
            <w:tcW w:type="dxa" w:w="374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Sin integridad referencial entre Redis y MongoDB.</w:t>
            </w:r>
          </w:p>
        </w:tc>
      </w:tr>
      <w:tr>
        <w:trPr/>
        <w:tc>
          <w:tcPr>
            <w:tcW w:type="dxa" w:w="2304"/>
            <w:vAlign w:val="center"/>
            <w:tcMar>
              <w:top w:w="90" w:type="dxa"/>
              <w:bottom w:w="90" w:type="dxa"/>
              <w:left w:w="110" w:type="dxa"/>
              <w:right w:w="110" w:type="dxa"/>
            </w:tcMar>
          </w:tcPr>
          <w:p>
            <w:pPr>
              <w:spacing w:after="60"/>
            </w:pPr>
            <w:r>
              <w:rPr>
                <w:sz w:val="18"/>
              </w:rPr>
              <w:t>Falla al registrar metadatos de un PDF</w:t>
            </w:r>
          </w:p>
        </w:tc>
        <w:tc>
          <w:tcPr>
            <w:tcW w:type="dxa" w:w="3888"/>
            <w:vAlign w:val="center"/>
            <w:tcMar>
              <w:top w:w="90" w:type="dxa"/>
              <w:bottom w:w="90" w:type="dxa"/>
              <w:left w:w="110" w:type="dxa"/>
              <w:right w:w="110" w:type="dxa"/>
            </w:tcMar>
          </w:tcPr>
          <w:p>
            <w:pPr>
              <w:spacing w:after="60"/>
            </w:pPr>
            <w:r>
              <w:rPr>
                <w:sz w:val="18"/>
              </w:rPr>
              <w:t>Se verifica que exista el archivo antes de guardar metadatos. [E21, E30]</w:t>
            </w:r>
          </w:p>
        </w:tc>
        <w:tc>
          <w:tcPr>
            <w:tcW w:type="dxa" w:w="3744"/>
            <w:vAlign w:val="center"/>
            <w:tcMar>
              <w:top w:w="90" w:type="dxa"/>
              <w:bottom w:w="90" w:type="dxa"/>
              <w:left w:w="110" w:type="dxa"/>
              <w:right w:w="110" w:type="dxa"/>
            </w:tcMar>
          </w:tcPr>
          <w:p>
            <w:pPr>
              <w:spacing w:after="60"/>
            </w:pPr>
            <w:r>
              <w:rPr>
                <w:sz w:val="18"/>
              </w:rPr>
              <w:t>Archivo y registro no comparten transacción.</w:t>
            </w:r>
          </w:p>
        </w:tc>
      </w:tr>
      <w:tr>
        <w:trPr/>
        <w:tc>
          <w:tcPr>
            <w:tcW w:type="dxa" w:w="2304"/>
            <w:vAlign w:val="center"/>
            <w:tcMar>
              <w:top w:w="90" w:type="dxa"/>
              <w:bottom w:w="90" w:type="dxa"/>
              <w:left w:w="110" w:type="dxa"/>
              <w:right w:w="110" w:type="dxa"/>
            </w:tcMar>
          </w:tcPr>
          <w:p>
            <w:pPr>
              <w:spacing w:after="60"/>
            </w:pPr>
            <w:r>
              <w:rPr>
                <w:sz w:val="18"/>
              </w:rPr>
              <w:t>Movimiento y saldo de cuenta corriente</w:t>
            </w:r>
          </w:p>
        </w:tc>
        <w:tc>
          <w:tcPr>
            <w:tcW w:type="dxa" w:w="3888"/>
            <w:vAlign w:val="center"/>
            <w:tcMar>
              <w:top w:w="90" w:type="dxa"/>
              <w:bottom w:w="90" w:type="dxa"/>
              <w:left w:w="110" w:type="dxa"/>
              <w:right w:w="110" w:type="dxa"/>
            </w:tcMar>
          </w:tcPr>
          <w:p>
            <w:pPr>
              <w:spacing w:after="60"/>
            </w:pPr>
            <w:r>
              <w:rPr>
                <w:sz w:val="18"/>
              </w:rPr>
              <w:t>Se escriben en ClientSession con transacción e índice único de referencia. [E29]</w:t>
            </w:r>
          </w:p>
        </w:tc>
        <w:tc>
          <w:tcPr>
            <w:tcW w:type="dxa" w:w="3744"/>
            <w:vAlign w:val="center"/>
            <w:tcMar>
              <w:top w:w="90" w:type="dxa"/>
              <w:bottom w:w="90" w:type="dxa"/>
              <w:left w:w="110" w:type="dxa"/>
              <w:right w:w="110" w:type="dxa"/>
            </w:tcMar>
          </w:tcPr>
          <w:p>
            <w:pPr>
              <w:spacing w:after="60"/>
            </w:pPr>
            <w:r>
              <w:rPr>
                <w:sz w:val="18"/>
              </w:rPr>
              <w:t>La creación de cuenta/apertura y los procesos de factura/pago quedan fuera de esa transacción.</w:t>
            </w:r>
          </w:p>
        </w:tc>
      </w:tr>
    </w:tbl>
    <w:p/>
    <w:p>
      <w:pPr>
        <w:pStyle w:val="Heading2"/>
      </w:pPr>
      <w:r>
        <w:rPr>
          <w:color w:val="000000"/>
        </w:rPr>
        <w:t>Estrategias de mejora no implementadas</w:t>
      </w:r>
    </w:p>
    <w:p>
      <w:r>
        <w:t>Para las operaciones que aún carecen de ellos, se podrían incorporar índices únicos de negocio y restricciones del grafo, además de reconciliación persistente de reservas. Las métricas requieren deduplicación o recálculo y control de concurrencia. Son posibles mejoras; los índices contables y las transacciones MongoDB de cuentas corrientes ya están declarados en el código. [E05, E07, E09, E13, E29]</w:t>
      </w:r>
    </w:p>
    <w:p>
      <w:pPr>
        <w:pStyle w:val="Heading1"/>
        <w:pageBreakBefore/>
      </w:pPr>
      <w:r>
        <w:rPr>
          <w:color w:val="000000"/>
        </w:rPr>
        <w:t>Funciones de operación y alcance de la interfaz</w:t>
      </w:r>
    </w:p>
    <w:p>
      <w:r>
        <w:t>Las vistas incluyen dashboard, clientes con ranking por cantidad de envíos, envíos, eventos logísticos, contenedores, vehículos, sensores, monitoreo, GPS, trazabilidad, comunicaciones, facturación, cuentas corrientes, reportes, incidentes y administración, según los permisos del usuario. [E03, E17, E31]</w:t>
      </w:r>
    </w:p>
    <w:p>
      <w:r>
        <w:t>En GPS, el selector se reconstruye desde todas las posiciones y los sensores MongoDB antes de filtrar los puntos. Una bandera evita cargas recursivas. Con un sensor seleccionado, hacer clic en un marcador muestra el maestro del sensor y todas las columnas de esa posición; puntos cercanos se muestran en pestañas. posiciones_sensor no contiene temperatura, humedad, vibración, batería ni fecha_dia: el detalle no recupera esos valores desde lecturas_sensor. El día se deriva en UTC y los Instant del detalle se presentan en America/Argentina/Buenos_Aires. [E12, E14, E15]</w:t>
      </w:r>
    </w:p>
    <w:p>
      <w:r>
        <w:t>Las comunicaciones privadas y grupales usan Conversacion y Mensaje. El envío de un mensaje exige pertenecer a la conversación, y la modificación o eliminación exige autoría. No existe una entidad GrupoDeTrabajo separada: la agrupación implementada es una conversación GRUPAL con participantes_ids. [E18]</w:t>
      </w:r>
    </w:p>
    <w:p>
      <w:r>
        <w:t>Facturación permite cargar cliente, fecha, importe y estado, guarda la factura en MongoDB y genera su PDF en facturas/. El cliente solo consulta sus propias facturas; administrador y operador pueden dar altas. El importe se ingresa manualmente: no se calcula desde envíos ni existe facturación programada. Pagos conserva modelo, DAO y operaciones delegadas; FacturaService no registra automáticamente movimientos de cuenta corriente. [E19, E20, E29]</w:t>
      </w:r>
    </w:p>
    <w:p>
      <w:r>
        <w:t>ReportesPanelController genera un PDF mediante ReportePDFService y ReportePDFGenerator, comprueba que exista el archivo y después guarda metadatos con estado GENERADO en MongoDB. Los archivos se crean en reportes/ con prefijo de tipo y System.currentTimeMillis. Administrador puede consultar reportes globales; Cliente queda restringido a sus datos e historial de reportes por usuario. Operador no tiene acceso; Estado de sensores se reserva al administrador. [E21, E30]</w:t>
      </w:r>
    </w:p>
    <w:p>
      <w:pPr>
        <w:pStyle w:val="Heading2"/>
      </w:pPr>
      <w:r>
        <w:rPr>
          <w:color w:val="000000"/>
        </w:rPr>
        <w:t>Reportes operativos y analíticos</w:t>
      </w:r>
    </w:p>
    <w:p>
      <w:pPr/>
      <w:r>
        <w:t>Los reportes operativos exportan envíos por cliente, estado o país, envíos demorados e incidentes abiertos. El filtro por país incluye origen o destino. El reporte de sensores utiliza los datos maestros MongoDB. Los PDF y sus metadatos se escriben por separado; un error al registrar metadatos puede dejar un PDF sin registro. [E21, E26, E30]</w:t>
      </w:r>
    </w:p>
    <w:p>
      <w:pPr/>
      <w:r>
        <w:t>El promedio de incidentes divide cantidad de incidentes asociados por cantidad de envíos de cada grupo, incluidos los envíos sin incidentes. PAIS considera los países distintos de origen y destino; ESTADO usa el estado del envío; CLIENTE agrupa por la razón social resuelta y puede reunir clientes con igual nombre. El ranking de rutas agrupa por el par ordenado país de origen y país de destino, ordena por incidentes descendentes y desempata por etiqueta. No utiliza tramos ni ciudades como clave de ruta. [E30]</w:t>
      </w:r>
    </w:p>
    <w:p>
      <w:pPr/>
      <w:r>
        <w:t>Los tiempos mínimos, máximos y promedio se calculan para envíos ENTREGADO con ambas fechas válidas y entrega no anterior a salida. ChronoUnit.DAYS.between devuelve días enteros; los envíos que no cumplen se omiten. Los costos se suman por tipo de transporte tomado del vehículo; se omiten tipos vacíos y costos no numéricos, negativos o no finitos. Se utiliza costoEnvio, no importe_total de facturas. [E26, E30]</w:t>
      </w:r>
    </w:p>
    <w:p>
      <w:pPr/>
      <w:r>
        <w:t>ClientesPanelController muestra otro ranking: cantidad de envíos por cliente_id, de mayor a menor. No calcula volumen, peso ni suma capacidades de contenedores. [E31]</w:t>
      </w:r>
    </w:p>
    <w:p>
      <w:pPr>
        <w:pStyle w:val="Heading2"/>
      </w:pPr>
      <w:r>
        <w:rPr>
          <w:color w:val="000000"/>
        </w:rPr>
        <w:t>Movimientos y cierre de cuentas corrientes</w:t>
      </w:r>
    </w:p>
    <w:p>
      <w:pPr/>
      <w:r>
        <w:t>CuentaCorrienteService crea cuentas de clientes con saldo cero y registra apertura por año/mes UTC; ambas escrituras son separadas. Los movimientos exigen importe positivo y referencia: DEBITO resta y rechaza saldo insuficiente; CREDITO suma. Movimiento y nuevo saldo se guardan dentro de una misma ClientSession con commit o abort. Antes de operar se verifica la continuidad de los cierres de períodos previos. [E29]</w:t>
      </w:r>
    </w:p>
    <w:p>
      <w:pPr/>
      <w:r>
        <w:t>CierreMensualCuentaCorrienteService rechaza meses sin finalizar, cierres duplicados y períodos anteriores a la apertura. El primer cierre toma saldo_inicial de la apertura; los siguientes requieren el cierre inmediatamente anterior. Suma movimientos del intervalo UTC del mes y calcula saldo_final = saldo_inicial + total_creditos - total_debitos. Guarda el cierre en transacción, sin cambiar el saldo actual ni crear una apertura siguiente. [E29]</w:t>
      </w:r>
    </w:p>
    <w:p>
      <w:pPr/>
      <w:r>
        <w:t>CuentasCorrientesPanelController permite movimientos, historial, consulta y solicitud manual de cierres. El permiso de la vista corresponde a administrador y operador. No se encontró un scheduler de cierres o una conciliación automática con facturas y pagos. Las transacciones requieren MongoDB configurado para admitirlas; la declaración --replSet rs0 no acredita su inicialización en ejecución. [E04, E17, E19, E20, E29]</w:t>
      </w:r>
    </w:p>
    <w:p>
      <w:pPr>
        <w:pStyle w:val="Heading2"/>
      </w:pPr>
      <w:r>
        <w:rPr>
          <w:color w:val="000000"/>
        </w:rPr>
        <w:t>Indicadores del dashboard</w:t>
      </w:r>
    </w:p>
    <w:p>
      <w:pPr/>
      <w:r>
        <w:t>El dashboard calcula indicadores IoT y conteos logísticos, incluida la cantidad de temperaturas menores a 15 o mayores a 40. Ese conteo no crea por sí mismo una alerta automática. AlertaService dispone de un alta explícita. [E22]</w:t>
      </w:r>
    </w:p>
    <w:p>
      <w:pPr>
        <w:pStyle w:val="Heading1"/>
        <w:pageBreakBefore/>
      </w:pPr>
      <w:r>
        <w:rPr>
          <w:color w:val="000000"/>
        </w:rPr>
        <w:t>Operación configuración y datos de prueba</w:t>
      </w:r>
    </w:p>
    <w:p>
      <w:pPr>
        <w:pStyle w:val="Heading2"/>
      </w:pPr>
      <w:r>
        <w:rPr>
          <w:color w:val="000000"/>
        </w:rPr>
        <w:t>Requisitos del entorno</w:t>
      </w:r>
    </w:p>
    <w:p>
      <w:r>
        <w:t>El pom define Java 21 y dependencias para los cuatro motores, dotenv, JCalendar, PDFBox y JXMapViewer. Maven compila el proyecto. Docker Compose configura servicios únicos mongo:8, cassandra:5.0, neo4j:5 y redis:7 con volúmenes; no describe una instalación distribuida. [E01, E04]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240"/>
        <w:gridCol w:w="4680"/>
      </w:tblGrid>
      <w:tr>
        <w:trPr>
          <w:tblHeader/>
          <w:cantSplit/>
          <w:tblHeader/>
        </w:trPr>
        <w:tc>
          <w:tcPr>
            <w:tcW w:type="dxa" w:w="201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Servicio</w:t>
            </w:r>
          </w:p>
        </w:tc>
        <w:tc>
          <w:tcPr>
            <w:tcW w:type="dxa" w:w="3240"/>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Puertos publicados</w:t>
            </w:r>
          </w:p>
        </w:tc>
        <w:tc>
          <w:tcPr>
            <w:tcW w:type="dxa" w:w="4680"/>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Volúmenes</w:t>
            </w:r>
          </w:p>
        </w:tc>
      </w:tr>
      <w:tr>
        <w:trPr>
          <w:cantSplit/>
        </w:trPr>
        <w:tc>
          <w:tcPr>
            <w:tcW w:type="dxa" w:w="201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MongoDB</w:t>
            </w:r>
          </w:p>
        </w:tc>
        <w:tc>
          <w:tcPr>
            <w:tcW w:type="dxa" w:w="3240"/>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27017</w:t>
            </w:r>
          </w:p>
        </w:tc>
        <w:tc>
          <w:tcPr>
            <w:tcW w:type="dxa" w:w="4680"/>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mongodb_data</w:t>
            </w:r>
          </w:p>
        </w:tc>
      </w:tr>
      <w:tr>
        <w:trPr>
          <w:cantSplit/>
        </w:trPr>
        <w:tc>
          <w:tcPr>
            <w:tcW w:type="dxa" w:w="20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Cassandra</w:t>
            </w:r>
          </w:p>
        </w:tc>
        <w:tc>
          <w:tcPr>
            <w:tcW w:type="dxa" w:w="32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9042</w:t>
            </w:r>
          </w:p>
        </w:tc>
        <w:tc>
          <w:tcPr>
            <w:tcW w:type="dxa" w:w="468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cassandra_data</w:t>
            </w:r>
          </w:p>
        </w:tc>
      </w:tr>
      <w:tr>
        <w:trPr>
          <w:cantSplit/>
        </w:trPr>
        <w:tc>
          <w:tcPr>
            <w:tcW w:type="dxa" w:w="20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Neo4j</w:t>
            </w:r>
          </w:p>
        </w:tc>
        <w:tc>
          <w:tcPr>
            <w:tcW w:type="dxa" w:w="32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7474 y 7687</w:t>
            </w:r>
          </w:p>
        </w:tc>
        <w:tc>
          <w:tcPr>
            <w:tcW w:type="dxa" w:w="468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neo4j_data y neo4j_logs</w:t>
            </w:r>
          </w:p>
        </w:tc>
      </w:tr>
      <w:tr>
        <w:trPr>
          <w:cantSplit/>
        </w:trPr>
        <w:tc>
          <w:tcPr>
            <w:tcW w:type="dxa" w:w="20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Redis</w:t>
            </w:r>
          </w:p>
        </w:tc>
        <w:tc>
          <w:tcPr>
            <w:tcW w:type="dxa" w:w="324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6379</w:t>
            </w:r>
          </w:p>
        </w:tc>
        <w:tc>
          <w:tcPr>
            <w:tcW w:type="dxa" w:w="4680"/>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redis_data</w:t>
            </w:r>
          </w:p>
        </w:tc>
      </w:tr>
    </w:tbl>
    <w:p/>
    <w:p>
      <w:r>
        <w:t>Desde la raíz del proyecto, levantar los motores con el comando siguiente. Los scripts son artefactos de creación o inspección; no hay montaje automático de scripts de inicialización en el compose. [E04]</w:t>
      </w:r>
    </w:p>
    <w:p>
      <w:pPr>
        <w:spacing w:after="20" w:line="240" w:lineRule="auto"/>
      </w:pPr>
      <w:r>
        <w:rPr>
          <w:rFonts w:ascii="Courier New" w:hAnsi="Courier New"/>
          <w:sz w:val="18"/>
        </w:rPr>
        <w:t>docker compose -f ModelosBD/docker-compose.yml up -d</w:t>
      </w:r>
    </w:p>
    <w:p>
      <w:r>
        <w:t>Las conexiones leen .env mediante Dotenv.load. Deben estar presentes las variables indicadas; sus valores deben coincidir con la configuración real de los servicios. No se incorporan credenciales al informe. [E28]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tblHeader/>
          <w:cantSplit/>
          <w:tblHeader/>
        </w:trPr>
        <w:tc>
          <w:tcPr>
            <w:tcW w:type="dxa" w:w="187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Motor</w:t>
            </w:r>
          </w:p>
        </w:tc>
        <w:tc>
          <w:tcPr>
            <w:tcW w:type="dxa" w:w="806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Variables leídas</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MongoDB</w:t>
            </w:r>
          </w:p>
        </w:tc>
        <w:tc>
          <w:tcPr>
            <w:tcW w:type="dxa" w:w="806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MONGO_URI</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Cassandra</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CASSANDRA_HOST, CASSANDRA_PORT, CASSANDRA_DATACENTER</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Neo4j</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NEO4J_URI, NEO4J_USER, NEO4J_PASSWORD</w:t>
            </w:r>
          </w:p>
        </w:tc>
      </w:tr>
      <w:tr>
        <w:trPr>
          <w:cantSplit/>
        </w:trPr>
        <w:tc>
          <w:tcPr>
            <w:tcW w:type="dxa" w:w="187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Redis</w:t>
            </w:r>
          </w:p>
        </w:tc>
        <w:tc>
          <w:tcPr>
            <w:tcW w:type="dxa" w:w="806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REDIS_HOST, REDIS_PORT, REDIS_PASSWORD</w:t>
            </w:r>
          </w:p>
        </w:tc>
      </w:tr>
    </w:tbl>
    <w:p/>
    <w:p>
      <w:pPr>
        <w:pStyle w:val="Heading2"/>
      </w:pPr>
      <w:r>
        <w:rPr>
          <w:color w:val="000000"/>
        </w:rPr>
        <w:t>Comportamiento del inicio</w:t>
      </w:r>
    </w:p>
    <w:p>
      <w:r>
        <w:t>En el Main local está comentada la llamada a EliminarDatos.eliminarDatosDePrueba. Si se habilitara, ese método borraría nodos Neo4j, la base datos2, las claves de la base Redis seleccionada y recrearía logistica. El inicio actual invoca cargarDatos, que puede generar datos o reparar referencias del grafo. Esta revisión no inició la aplicación ni ejecutó esos métodos. [E02, E23]</w:t>
      </w:r>
    </w:p>
    <w:p>
      <w:r>
        <w:t>DatosPruebaTotal comprueba si existen colecciones MongoDB: si no hay, ejecuta los generadores MongoDB y Neo4j, obtiene IDs reales, crea sesiones Redis, crea las tablas Cassandra e inserta lecturas. Si hay colecciones, repara las referencias antiguas del grafo. Finalmente normaliza propiedades antiguas del envío. La presencia de cualquier colección no prueba que la carga esté completa. [E23]</w:t>
      </w:r>
    </w:p>
    <w:p>
      <w:pPr>
        <w:pStyle w:val="Heading2"/>
      </w:pPr>
      <w:r>
        <w:rPr>
          <w:color w:val="000000"/>
        </w:rPr>
        <w:t>Casos de prueba incluidos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2808"/>
        <w:gridCol w:w="2808"/>
      </w:tblGrid>
      <w:tr>
        <w:trPr>
          <w:tblHeader/>
          <w:cantSplit/>
          <w:tblHeader/>
        </w:trPr>
        <w:tc>
          <w:tcPr>
            <w:tcW w:type="dxa" w:w="172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Envío</w:t>
            </w:r>
          </w:p>
        </w:tc>
        <w:tc>
          <w:tcPr>
            <w:tcW w:type="dxa" w:w="259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Contenedor de prueba</w:t>
            </w:r>
          </w:p>
        </w:tc>
        <w:tc>
          <w:tcPr>
            <w:tcW w:type="dxa" w:w="280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Estado del envío</w:t>
            </w:r>
          </w:p>
        </w:tc>
        <w:tc>
          <w:tcPr>
            <w:tcW w:type="dxa" w:w="280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Estado MongoDB</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ENV-001</w:t>
            </w:r>
          </w:p>
        </w:tc>
        <w:tc>
          <w:tcPr>
            <w:tcW w:type="dxa" w:w="259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CONT-001</w:t>
            </w:r>
          </w:p>
        </w:tc>
        <w:tc>
          <w:tcPr>
            <w:tcW w:type="dxa" w:w="280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EN_TRANSITO</w:t>
            </w:r>
          </w:p>
        </w:tc>
        <w:tc>
          <w:tcPr>
            <w:tcW w:type="dxa" w:w="280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EN_USO</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ENV-002</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CONT-002</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DEMORADO</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EN_USO</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ENV-003</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CONT-003</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ENTREGADO</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DISPONIBLE</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ENV-004</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CONT-004</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PENDIENTE</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DISPONIBLE</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ENV-005</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CONT-005</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EN_TRANSITO</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EN_USO</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ENV-006</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CONT-006</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PENDIENTE</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DISPONIBLE</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ENV-007</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CONT-007</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CANCELADO</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DISPONIBLE</w:t>
            </w:r>
          </w:p>
        </w:tc>
      </w:tr>
      <w:tr>
        <w:trPr>
          <w:cantSplit/>
        </w:trPr>
        <w:tc>
          <w:tcPr>
            <w:tcW w:type="dxa" w:w="172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ENV-008</w:t>
            </w:r>
          </w:p>
        </w:tc>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CONT-008</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EN_TRANSITO</w:t>
            </w:r>
          </w:p>
        </w:tc>
        <w:tc>
          <w:tcPr>
            <w:tcW w:type="dxa" w:w="280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EN_USO</w:t>
            </w:r>
          </w:p>
        </w:tc>
      </w:tr>
    </w:tbl>
    <w:p/>
    <w:p>
      <w:r>
        <w:t>Los ocho envíos usan un contenedor distinto e incluyen fechas de salida/entrega y costo en el generador Neo4j. DatosDePruebaCassandra realiza 60 inserciones aleatorias, con proyección de posiciones y actualización de métricas, entre el 1 de septiembre y el 6 de octubre de 2026. Sensor y contenedor se eligen de listas independientes: la existencia de ambos IDs no garantiza su asociación maestra. La aleatoriedad tampoco garantiza 60 claves diferentes. [E23, E24]</w:t>
      </w:r>
    </w:p>
    <w:p>
      <w:r>
        <w:t>GenerarDatosPruebaRedis crea una sesión con el mismo formato del DAO para los IDs de usuario recibidos de MongoDB. El generador MongoDB inserta también documentos comerciales y eventos; estos últimos conservan referencias de envío como texto. [E23, E24]</w:t>
      </w:r>
    </w:p>
    <w:p>
      <w:pPr/>
      <w:r>
        <w:t>GeneradorDatosPruebaMongo inserta las cuentas directamente mediante CuentaCorrienteMongoDAO y no registra aperturas. Por su parte, los servicios de movimiento y cierre exigen apertura. La carga de prueba por sí sola no completa ese requisito contable. No se modificaron los generadores ni los datos durante esta revisión. [E23, E29]</w:t>
      </w:r>
    </w:p>
    <w:p>
      <w:pPr>
        <w:pStyle w:val="Heading1"/>
        <w:pageBreakBefore/>
      </w:pPr>
      <w:r>
        <w:rPr>
          <w:color w:val="000000"/>
        </w:rPr>
        <w:t>Calidad pruebas y controles de integridad</w:t>
      </w:r>
    </w:p>
    <w:p>
      <w:r>
        <w:t>DisponibilidadContenedoresTest contiene una implementación en memoria del Repositorio y un main con assertions Java. No usa JUnit ni ejecuta por sí mismo las consultas de MongoDB o Cypher. Debe iniciarse con -ea para que las aserciones estén activas; mvn test por sí solo no acredita haber ejecutado ese main. [E25]</w:t>
      </w:r>
    </w:p>
    <w:p>
      <w:pPr/>
      <w:r>
        <w:t>PruebaCuentaCorriente es un programa manual con un clienteId fijo y una llamada registrarCredito; escribe en MongoDB y no contiene assertions de verificación. No se ejecutó durante esta revisión. Su presencia no equivale a una prueba automatizada del cierre. [E29]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752"/>
      </w:tblGrid>
      <w:tr>
        <w:trPr>
          <w:tblHeader/>
          <w:cantSplit/>
          <w:tblHeader/>
        </w:trPr>
        <w:tc>
          <w:tcPr>
            <w:tcW w:type="dxa" w:w="5184"/>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Caso implementado</w:t>
            </w:r>
          </w:p>
        </w:tc>
        <w:tc>
          <w:tcPr>
            <w:tcW w:type="dxa" w:w="475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Resultado esperado</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Guardar en cada estado del envío</w:t>
            </w:r>
          </w:p>
        </w:tc>
        <w:tc>
          <w:tcPr>
            <w:tcW w:type="dxa" w:w="475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EN_USO solo en EN_TRANSITO y DEMORADO.</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Conservar el propio al editar</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La reserva no se rechaza como una asignación ajena.</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Usar contenedor ajeno ocupado</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rechaza antes de escribir el envío.</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Varios contenedores y uno ocupado</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revierten las reservas anteriores.</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Falla de escritura Neo4j simulada</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restaura el estado anterior.</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Cambiar el contenedor</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libera el anterior y ocupa el nuevo.</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Liberar con otro envío activo</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 conserva EN_USO mientras otro lo utiliza.</w:t>
            </w:r>
          </w:p>
        </w:tc>
      </w:tr>
      <w:tr>
        <w:trPr>
          <w:cantSplit/>
        </w:trPr>
        <w:tc>
          <w:tcPr>
            <w:tcW w:type="dxa" w:w="5184"/>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Liberar sin otro envío activo</w:t>
            </w:r>
          </w:p>
        </w:tc>
        <w:tc>
          <w:tcPr>
            <w:tcW w:type="dxa" w:w="475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Queda DISPONIBLE.</w:t>
            </w:r>
          </w:p>
        </w:tc>
      </w:tr>
    </w:tbl>
    <w:p/>
    <w:p>
      <w:r>
        <w:t>Para compilar la entrega sin usar los motores externos:</w:t>
      </w:r>
    </w:p>
    <w:p>
      <w:pPr>
        <w:spacing w:after="20" w:line="240" w:lineRule="auto"/>
      </w:pPr>
      <w:r>
        <w:rPr>
          <w:rFonts w:ascii="Courier New" w:hAnsi="Courier New"/>
          <w:sz w:val="18"/>
        </w:rPr>
        <w:t>mvn -q -DskipTests package</w:t>
      </w:r>
    </w:p>
    <w:p>
      <w:r>
        <w:t>Después de compilar las clases de prueba y disponer de las dependencias, la prueba incluida se ejecuta con java -ea y el classpath de target/test-classes, target/classes y el driver BSON. La clase principal es org.example.neo4j.service.DisponibilidadContenedoresTest. [E01, E25]</w:t>
      </w:r>
    </w:p>
    <w:p>
      <w:r>
        <w:t>La revisión documental contrastó archivos, métodos, campos, índices y DDL, y verificó la presentación del Word y los diagramas. No se compiló ni se ejecutaron tests, generadores, scripts de bases o pruebas de integración durante esta actualización. La existencia de código no certifica la inicialización del replica set ni el funcionamiento con los cuatro motores en ejecución.</w:t>
      </w:r>
    </w:p>
    <w:p>
      <w:pPr>
        <w:pStyle w:val="Heading1"/>
        <w:pageBreakBefore/>
      </w:pPr>
      <w:r>
        <w:rPr>
          <w:color w:val="000000"/>
        </w:rPr>
        <w:t>Correspondencia de requisitos funcionales</w:t>
      </w:r>
    </w:p>
    <w:p>
      <w:r>
        <w:t>Implementado indica que existe un flujo de código para la función. Parcial indica que hay datos, consultas o pantallas, pero falta parte del alcance solicitado. Pendiente indica que no existe el proceso o modelo necesario en el proyecto actual. Esta clasificación describe cobertura del código, no una certificación de funcionamiento con los motores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656"/>
        <w:gridCol w:w="5688"/>
      </w:tblGrid>
      <w:tr>
        <w:trPr>
          <w:tblHeader/>
          <w:cantSplit/>
          <w:tblHeader/>
        </w:trPr>
        <w:tc>
          <w:tcPr>
            <w:tcW w:type="dxa" w:w="2592"/>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Requisito</w:t>
            </w:r>
          </w:p>
        </w:tc>
        <w:tc>
          <w:tcPr>
            <w:tcW w:type="dxa" w:w="165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Estado</w:t>
            </w:r>
          </w:p>
        </w:tc>
        <w:tc>
          <w:tcPr>
            <w:tcW w:type="dxa" w:w="5688"/>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Alcance y evidencia</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Clientes usuarios y roles</w:t>
            </w:r>
          </w:p>
        </w:tc>
        <w:tc>
          <w:tcPr>
            <w:tcW w:type="dxa" w:w="165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CRUD de clientes y administración de usuarios; roles se listan y se asignan. No hay CRUD de roles. [E03, E06, E17]</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Operadores y proveedores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Nodos y relaciones en el generador y métodos del grafo; sin CRUD dedicado de interfaz. [E03, E08, E23]</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Sesiones activas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Alta, TTL, renovación y cierre Redis; administración por ID con mail visible. [E16, E27]</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Contenedores sensores y vehículos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Vistas, DAO, validaciones y asociación de sensor a contenedor. [E03, E05, E06]</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Registro de envíos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Alta, modificación y eliminación en Neo4j con reserva de contenedores. [E07, E09, E11]</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Tramos y seguimiento de trayectos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Origen, destino y vehículo directo; sin etapas, fechas de salida o llegada por tramo. [E07, E08]</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Registro continuo de lecturas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Inserción manual y generador IoT; sin receptor continuo de dispositivos. [E13, E14, E24]</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Historial IoT y métricas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Consultas por sensor y día e indicadores por región o país. [E12, E13, E14]</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GPS y estado de sensores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Mapa, filtro estable y detalle de puntos; estado del maestro sensor. [E05, E15]</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Eventos y secuencia temporal del envío</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Eventos vinculados por envio_id y fecha; no historial completo de cambios del grafo. [E05, E08, E26]</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Recorrido de contenedor y red logística</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Consultas de vínculos actuales; no ruta de tramos completa ni bitácora de cambios. [E08]</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Chat privado grupal e historial</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Conversaciones, participantes y mensajes; GRUPAL sustituye el grupo en este modelo. [E05, E18]</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Solicitud y generación de reportes</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PDF operativos y analíticos, filtros por rol y registro posterior de metadatos. [E21,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Facturación automática</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Alta manual y PDF; sin generación programada o cálculo desde envíos. [E19]</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Pagos y cuentas corrientes</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Pagos: modelo y DAO. Cuentas: movimientos, saldo e historial; cierre mensual manual transaccional. Sin conciliación automática con facturas/pagos. [E05, E20, E29]</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Ranking de rutas por incidentes</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Ranking PDF por par ordenado de países origen/destino y cantidad de incidentes.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Ranking de clientes por volumen</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La vista Clientes ordena por cantidad de envíos; no calcula volumen físico transportado. [E31]</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Predicción de atrasos y riesgos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Pendiente</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No existe modelo PrediccionRiesgo ni proceso predictivo; RIESGOS muestra incidentes. [E03, E22]</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Análisis histórico de desempeño</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Métricas IoT, incidentes y tiempos de envíos entregados; sin modelo predictivo. [E12, E22,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Anomalías de temperatura y alertas</w:t>
            </w:r>
          </w:p>
        </w:tc>
        <w:tc>
          <w:tcPr>
            <w:tcW w:type="dxa" w:w="165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Conteo de valores fuera de 15 a 40; servicio de alta de alertas sin detector automático. [E22]</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Envíos por país estado cliente y demorados</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Filtros y exportación PDF desde ReportePDFService. [E26,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Incidentes abiertos</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Consulta buscarAbiertos y reporte PDF, global o del cliente autorizado. [E26,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Tiempos mínimos máximos y medios de entrega</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Días de envíos ENTREGADO con fechas válidas; mínimos/máximos/promedios por cliente y promedio general.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Promedio de incidentes por país estado cliente</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Incidentes asociados divididos por envíos del grupo; estado del envío y agrupación por nombre del cliente.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Costos por tipo de transporte</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Implementado</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Suma costoEnvio por tipo del vehículo, omitiendo datos inválidos. [E26, E30]</w:t>
            </w:r>
          </w:p>
        </w:tc>
      </w:tr>
      <w:tr>
        <w:trPr>
          <w:cantSplit/>
        </w:trPr>
        <w:tc>
          <w:tcPr>
            <w:tcW w:type="dxa" w:w="2592"/>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Facturas periódicas sensores inactivos cierre mensual y riesgo diario</w:t>
            </w:r>
          </w:p>
        </w:tc>
        <w:tc>
          <w:tcPr>
            <w:tcW w:type="dxa" w:w="1656"/>
            <w:vAlign w:val="center"/>
            <w:tcMar>
              <w:top w:w="65" w:type="dxa"/>
              <w:bottom w:w="65" w:type="dxa"/>
              <w:left w:w="80" w:type="dxa"/>
              <w:right w:w="80" w:type="dxa"/>
              <w:top w:w="90" w:type="dxa"/>
              <w:bottom w:w="90" w:type="dxa"/>
              <w:left w:w="110" w:type="dxa"/>
              <w:right w:w="110" w:type="dxa"/>
            </w:tcMar>
          </w:tcPr>
          <w:p>
            <w:pPr>
              <w:spacing w:after="60"/>
            </w:pPr>
            <w:r>
              <w:rPr>
                <w:sz w:val="18"/>
              </w:rPr>
              <w:t>Parcial</w:t>
            </w:r>
          </w:p>
        </w:tc>
        <w:tc>
          <w:tcPr>
            <w:tcW w:type="dxa" w:w="5688"/>
            <w:vAlign w:val="center"/>
            <w:tcMar>
              <w:top w:w="65" w:type="dxa"/>
              <w:bottom w:w="65" w:type="dxa"/>
              <w:left w:w="80" w:type="dxa"/>
              <w:right w:w="80" w:type="dxa"/>
              <w:top w:w="90" w:type="dxa"/>
              <w:bottom w:w="90" w:type="dxa"/>
              <w:left w:w="110" w:type="dxa"/>
              <w:right w:w="110" w:type="dxa"/>
            </w:tcMar>
          </w:tcPr>
          <w:p>
            <w:pPr>
              <w:spacing w:after="60"/>
            </w:pPr>
            <w:r>
              <w:rPr>
                <w:sz w:val="18"/>
              </w:rPr>
              <w:t>Cierre mensual manual implementado. Sin scheduler de cierre, facturación, detección de inactividad o predicción diaria. [E02, E16, E27, E29]</w:t>
            </w:r>
          </w:p>
        </w:tc>
      </w:tr>
    </w:tbl>
    <w:p/>
    <w:p>
      <w:pPr>
        <w:pStyle w:val="Heading1"/>
        <w:pageBreakBefore/>
      </w:pPr>
      <w:r>
        <w:rPr>
          <w:color w:val="000000"/>
        </w:rPr>
        <w:t>Inventario de documentación y scripts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120"/>
      </w:tblGrid>
      <w:tr>
        <w:trPr>
          <w:tblHeader/>
          <w:cantSplit/>
          <w:tblHeader/>
        </w:trPr>
        <w:tc>
          <w:tcPr>
            <w:tcW w:type="dxa" w:w="3816"/>
            <w:vAlign w:val="center"/>
            <w:tcMar>
              <w:top w:w="65" w:type="dxa"/>
              <w:bottom w:w="65" w:type="dxa"/>
              <w:left w:w="80" w:type="dxa"/>
              <w:right w:w="80" w:type="dxa"/>
              <w:top w:w="90" w:type="dxa"/>
              <w:bottom w:w="90" w:type="dxa"/>
              <w:left w:w="110" w:type="dxa"/>
              <w:right w:w="110" w:type="dxa"/>
            </w:tcMar>
            <w:shd w:fill="E9EEF4"/>
          </w:tcPr>
          <w:p>
            <w:pPr>
              <w:keepNext/>
              <w:spacing w:after="60" w:line="240" w:lineRule="auto"/>
            </w:pPr>
            <w:r>
              <w:rPr>
                <w:rFonts w:ascii="Arial" w:hAnsi="Arial"/>
                <w:b/>
                <w:sz w:val="18"/>
              </w:rPr>
              <w:t>Archivo de ModelosBD</w:t>
            </w:r>
          </w:p>
        </w:tc>
        <w:tc>
          <w:tcPr>
            <w:tcW w:type="dxa" w:w="6120"/>
            <w:vAlign w:val="center"/>
            <w:tcMar>
              <w:top w:w="65" w:type="dxa"/>
              <w:bottom w:w="65" w:type="dxa"/>
              <w:left w:w="80" w:type="dxa"/>
              <w:right w:w="80" w:type="dxa"/>
              <w:top w:w="90" w:type="dxa"/>
              <w:bottom w:w="90" w:type="dxa"/>
              <w:left w:w="110" w:type="dxa"/>
              <w:right w:w="110" w:type="dxa"/>
            </w:tcMar>
            <w:shd w:fill="E9EEF4"/>
          </w:tcPr>
          <w:p>
            <w:pPr>
              <w:spacing w:after="60"/>
            </w:pPr>
            <w:r>
              <w:rPr>
                <w:sz w:val="18"/>
              </w:rPr>
              <w:t>Propósito y alcance</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keepNext/>
              <w:spacing w:after="60" w:line="240" w:lineRule="auto"/>
            </w:pPr>
            <w:r>
              <w:rPr>
                <w:rFonts w:ascii="Arial" w:hAnsi="Arial"/>
                <w:b w:val="0"/>
                <w:sz w:val="18"/>
              </w:rPr>
              <w:t>modeloMongoDB.txt</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19 colecciones, campos BSON, referencias y validaciones reales.</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scriptMongoDB.txt</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Creación idempotente de colecciones e tres índices únicos e inspección de índices; sin fixtures incompatibles.</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modeloNeo4j.txt y neo4jDiagrama.png</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Nodos y vínculos actuales, sin Tramo ni atributos duplicados en Envio.</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scriptNeo4j.cypher</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Plantilla parametrizada de creación; requiere IDs reales. No realiza las reservas MongoDB.</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modeloCassandra.txt y Scriptcassandra.txt</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DDL idéntico a Java: keyspace y cuatro tablas con IDs text.</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ChebotkoCassandra.png</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Partición y clustering de las cuatro tablas.</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EntidadRelacionCassandra.png</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Referencias de lecturas y posiciones hacia los maestros MongoDB, sin tablas ficticias de país o región.</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modeloRedis.txt y scriptRedis.txt</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Clave de sesión, TTL y comandos del DAO; marcadores que requieren un ID real.</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docker-compose.yml</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Servicios y volúmenes de los cuatro motores utilizados.</w:t>
            </w:r>
          </w:p>
        </w:tc>
      </w:tr>
      <w:tr>
        <w:trPr>
          <w:cantSplit/>
        </w:trPr>
        <w:tc>
          <w:tcPr>
            <w:tcW w:type="dxa" w:w="3816"/>
            <w:vAlign w:val="center"/>
            <w:tcMar>
              <w:top w:w="65" w:type="dxa"/>
              <w:bottom w:w="65" w:type="dxa"/>
              <w:left w:w="80" w:type="dxa"/>
              <w:right w:w="80" w:type="dxa"/>
              <w:top w:w="90" w:type="dxa"/>
              <w:bottom w:w="90" w:type="dxa"/>
              <w:left w:w="110" w:type="dxa"/>
              <w:right w:w="110" w:type="dxa"/>
            </w:tcMar>
          </w:tcPr>
          <w:p>
            <w:pPr>
              <w:spacing w:after="60" w:line="240" w:lineRule="auto"/>
            </w:pPr>
            <w:r>
              <w:rPr>
                <w:rFonts w:ascii="Arial" w:hAnsi="Arial"/>
                <w:b w:val="0"/>
                <w:sz w:val="18"/>
              </w:rPr>
              <w:t>DocumentacionTecnica.docx</w:t>
            </w:r>
          </w:p>
        </w:tc>
        <w:tc>
          <w:tcPr>
            <w:tcW w:type="dxa" w:w="6120"/>
            <w:vAlign w:val="center"/>
            <w:tcMar>
              <w:top w:w="65" w:type="dxa"/>
              <w:bottom w:w="65" w:type="dxa"/>
              <w:left w:w="80" w:type="dxa"/>
              <w:right w:w="80" w:type="dxa"/>
              <w:top w:w="90" w:type="dxa"/>
              <w:bottom w:w="90" w:type="dxa"/>
              <w:left w:w="110" w:type="dxa"/>
              <w:right w:w="110" w:type="dxa"/>
            </w:tcMar>
          </w:tcPr>
          <w:p>
            <w:pPr>
              <w:spacing w:after="60"/>
            </w:pPr>
            <w:r>
              <w:rPr>
                <w:sz w:val="18"/>
              </w:rPr>
              <w:t>Arquitectura, decisiones, modelos, operaciones, consistencia y cobertura de consigna.</w:t>
            </w:r>
          </w:p>
        </w:tc>
      </w:tr>
    </w:tbl>
    <w:p/>
    <w:p>
      <w:r>
        <w:t>Los scripts no se ejecutaron contra las bases durante la corrección documental. Los scripts MongoDB y Cassandra crean estructuras; Neo4j se materializa con escrituras de nodos y relaciones; Redis crea claves al iniciar sesiones. Los generadores Java son la fuente de los datos de prueba coordinados. [E12, E16, E23]</w:t>
      </w:r>
    </w:p>
    <w:p>
      <w:pPr>
        <w:pStyle w:val="Heading1"/>
        <w:pageBreakBefore/>
      </w:pPr>
      <w:r>
        <w:rPr>
          <w:color w:val="000000"/>
        </w:rPr>
        <w:t>Referencias al código</w:t>
      </w:r>
    </w:p>
    <w:p>
      <w:r>
        <w:t>Las referencias E identifican archivos y puntos de entrada del estado local revisado el 20/10/2026. Los paths son relativos a la raíz; salvo paths que comienzan con src/ o ModelosBD/, el prefijo Java es src/main/java/org/example/. Las líneas se recalcularon sobre los archivos actuales. Los campos MongoDB se respaldan en las escrituras de E05 y E29.</w:t>
      </w:r>
    </w:p>
    <w:p>
      <w:pPr>
        <w:pStyle w:val="Heading2"/>
        <w:spacing w:before="100" w:after="60"/>
      </w:pPr>
      <w:r>
        <w:rPr>
          <w:color w:val="000000"/>
          <w:sz w:val="22"/>
        </w:rPr>
        <w:t>E01</w:t>
      </w:r>
    </w:p>
    <w:p>
      <w:pPr>
        <w:keepNext w:val="0"/>
        <w:spacing w:after="60"/>
      </w:pPr>
      <w:r>
        <w:rPr>
          <w:sz w:val="18"/>
        </w:rPr>
        <w:t>pom.xml:13  &lt;maven.compiler.release&gt;21</w:t>
      </w:r>
    </w:p>
    <w:p>
      <w:pPr>
        <w:pStyle w:val="Heading2"/>
        <w:spacing w:before="100" w:after="60"/>
      </w:pPr>
      <w:r>
        <w:rPr>
          <w:color w:val="000000"/>
          <w:sz w:val="22"/>
        </w:rPr>
        <w:t>E02</w:t>
      </w:r>
    </w:p>
    <w:p>
      <w:pPr>
        <w:keepNext/>
        <w:spacing w:after="60"/>
      </w:pPr>
      <w:r>
        <w:rPr>
          <w:sz w:val="18"/>
        </w:rPr>
        <w:t>Main.java:14  eliminarDatosDePrueba</w:t>
      </w:r>
    </w:p>
    <w:p>
      <w:pPr>
        <w:keepNext w:val="0"/>
        <w:spacing w:after="60"/>
      </w:pPr>
      <w:r>
        <w:rPr>
          <w:sz w:val="18"/>
        </w:rPr>
        <w:t>DatosPorDefecto/EliminarDatos.java:19  public static void eliminarDatosDePrueba</w:t>
      </w:r>
    </w:p>
    <w:p>
      <w:pPr>
        <w:pStyle w:val="Heading2"/>
        <w:spacing w:before="100" w:after="60"/>
      </w:pPr>
      <w:r>
        <w:rPr>
          <w:color w:val="000000"/>
          <w:sz w:val="22"/>
        </w:rPr>
        <w:t>E03</w:t>
      </w:r>
    </w:p>
    <w:p>
      <w:pPr>
        <w:keepNext/>
        <w:spacing w:after="60"/>
      </w:pPr>
      <w:r>
        <w:rPr>
          <w:sz w:val="18"/>
        </w:rPr>
        <w:t>interfaz/principal/PrincipalPanel.java:82  private void construirContenido</w:t>
      </w:r>
    </w:p>
    <w:p>
      <w:pPr>
        <w:keepNext w:val="0"/>
        <w:spacing w:after="60"/>
      </w:pPr>
      <w:r>
        <w:rPr>
          <w:sz w:val="18"/>
        </w:rPr>
        <w:t>interfaz/principal/PrincipalController.java:67  private void navegar</w:t>
      </w:r>
    </w:p>
    <w:p>
      <w:pPr>
        <w:pStyle w:val="Heading2"/>
        <w:spacing w:before="100" w:after="60"/>
      </w:pPr>
      <w:r>
        <w:rPr>
          <w:color w:val="000000"/>
          <w:sz w:val="22"/>
        </w:rPr>
        <w:t>E04</w:t>
      </w:r>
    </w:p>
    <w:p>
      <w:pPr>
        <w:keepNext w:val="0"/>
        <w:spacing w:after="60"/>
      </w:pPr>
      <w:r>
        <w:rPr>
          <w:sz w:val="18"/>
        </w:rPr>
        <w:t>ModelosBD/docker-compose.yml:1  services:</w:t>
      </w:r>
    </w:p>
    <w:p>
      <w:pPr>
        <w:pStyle w:val="Heading2"/>
        <w:spacing w:before="100" w:after="60"/>
      </w:pPr>
      <w:r>
        <w:rPr>
          <w:color w:val="000000"/>
          <w:sz w:val="22"/>
        </w:rPr>
        <w:t>E06</w:t>
      </w:r>
    </w:p>
    <w:p>
      <w:pPr>
        <w:keepNext/>
        <w:spacing w:after="60"/>
      </w:pPr>
      <w:r>
        <w:rPr>
          <w:sz w:val="18"/>
        </w:rPr>
        <w:t>mongoDB/service/ClienteService.java:31  public void crearCliente</w:t>
      </w:r>
    </w:p>
    <w:p>
      <w:pPr>
        <w:keepNext/>
        <w:spacing w:after="60"/>
      </w:pPr>
      <w:r>
        <w:rPr>
          <w:sz w:val="18"/>
        </w:rPr>
        <w:t>mongoDB/service/UsuarioService.java:34  public Usuario crearUsuario</w:t>
      </w:r>
    </w:p>
    <w:p>
      <w:pPr>
        <w:keepNext w:val="0"/>
        <w:spacing w:after="60"/>
      </w:pPr>
      <w:r>
        <w:rPr>
          <w:sz w:val="18"/>
        </w:rPr>
        <w:t>mongoDB/service/ContenedorService.java:23  public void crearContenedor</w:t>
      </w:r>
    </w:p>
    <w:p>
      <w:pPr>
        <w:pStyle w:val="Heading2"/>
        <w:spacing w:before="100" w:after="60"/>
      </w:pPr>
      <w:r>
        <w:rPr>
          <w:color w:val="000000"/>
          <w:sz w:val="22"/>
        </w:rPr>
        <w:t>E07</w:t>
      </w:r>
    </w:p>
    <w:p>
      <w:pPr>
        <w:keepNext/>
        <w:spacing w:after="60"/>
      </w:pPr>
      <w:r>
        <w:rPr>
          <w:sz w:val="18"/>
        </w:rPr>
        <w:t>neo4j/dao/EnvioNeo4jDAO.java:23  public void guardarCompleto</w:t>
      </w:r>
    </w:p>
    <w:p>
      <w:pPr>
        <w:keepNext w:val="0"/>
        <w:spacing w:after="60"/>
      </w:pPr>
      <w:r>
        <w:rPr>
          <w:sz w:val="18"/>
        </w:rPr>
        <w:t>neo4j/dao/EnvioNeo4jDAO.java:88  public void normalizarEnviosExistentes</w:t>
      </w:r>
    </w:p>
    <w:p>
      <w:pPr>
        <w:pStyle w:val="Heading2"/>
        <w:spacing w:before="100" w:after="60"/>
      </w:pPr>
      <w:r>
        <w:rPr>
          <w:color w:val="000000"/>
          <w:sz w:val="22"/>
        </w:rPr>
        <w:t>E08</w:t>
      </w:r>
    </w:p>
    <w:p>
      <w:pPr>
        <w:keepNext w:val="0"/>
        <w:spacing w:after="60"/>
      </w:pPr>
      <w:r>
        <w:rPr>
          <w:sz w:val="18"/>
        </w:rPr>
        <w:t>neo4j/dao/GrafoNeo4jDAO.java:14  public void clienteRealizaEnvio</w:t>
      </w:r>
    </w:p>
    <w:p>
      <w:pPr>
        <w:pStyle w:val="Heading2"/>
        <w:spacing w:before="100" w:after="60"/>
      </w:pPr>
      <w:r>
        <w:rPr>
          <w:color w:val="000000"/>
          <w:sz w:val="22"/>
        </w:rPr>
        <w:t>E09</w:t>
      </w:r>
    </w:p>
    <w:p>
      <w:pPr>
        <w:keepNext/>
        <w:spacing w:after="60"/>
      </w:pPr>
      <w:r>
        <w:rPr>
          <w:sz w:val="18"/>
        </w:rPr>
        <w:t>neo4j/service/DisponibilidadContenedores.java:27  public void guardar</w:t>
      </w:r>
    </w:p>
    <w:p>
      <w:pPr>
        <w:keepNext w:val="0"/>
        <w:spacing w:after="60"/>
      </w:pPr>
      <w:r>
        <w:rPr>
          <w:sz w:val="18"/>
        </w:rPr>
        <w:t>mongoDB/dao/ContenedorMongoDAO.java:76  public Document reservarParaEnvio</w:t>
      </w:r>
    </w:p>
    <w:p>
      <w:pPr>
        <w:pStyle w:val="Heading2"/>
        <w:spacing w:before="100" w:after="60"/>
      </w:pPr>
      <w:r>
        <w:rPr>
          <w:color w:val="000000"/>
          <w:sz w:val="22"/>
        </w:rPr>
        <w:t>E10</w:t>
      </w:r>
    </w:p>
    <w:p>
      <w:pPr>
        <w:keepNext/>
        <w:spacing w:after="60"/>
      </w:pPr>
      <w:r>
        <w:rPr>
          <w:sz w:val="18"/>
        </w:rPr>
        <w:t>neo4j/service/LogisticaNeo4jService.java:66  public void crearEnvio</w:t>
      </w:r>
    </w:p>
    <w:p>
      <w:pPr>
        <w:keepNext w:val="0"/>
        <w:spacing w:after="60"/>
      </w:pPr>
      <w:r>
        <w:rPr>
          <w:sz w:val="18"/>
        </w:rPr>
        <w:t>neo4j/controller/ControllerNeo4j.java:56  public void vincularVehiculoMongoAEnvio</w:t>
      </w:r>
    </w:p>
    <w:p>
      <w:pPr>
        <w:pStyle w:val="Heading2"/>
        <w:spacing w:before="100" w:after="60"/>
      </w:pPr>
      <w:r>
        <w:rPr>
          <w:color w:val="000000"/>
          <w:sz w:val="22"/>
        </w:rPr>
        <w:t>E11</w:t>
      </w:r>
    </w:p>
    <w:p>
      <w:pPr>
        <w:keepNext/>
        <w:spacing w:after="60"/>
      </w:pPr>
      <w:r>
        <w:rPr>
          <w:sz w:val="18"/>
        </w:rPr>
        <w:t>interfaz/principal/vistas/EnviosPanelController.java:257  private void cargarContenedores</w:t>
      </w:r>
    </w:p>
    <w:p>
      <w:pPr>
        <w:keepNext w:val="0"/>
        <w:spacing w:after="60"/>
      </w:pPr>
      <w:r>
        <w:rPr>
          <w:sz w:val="18"/>
        </w:rPr>
        <w:t>interfaz/principal/vistas/EnviosPanelController.java:1218  private String generarIdentificador</w:t>
      </w:r>
    </w:p>
    <w:p>
      <w:pPr>
        <w:pStyle w:val="Heading2"/>
        <w:spacing w:before="100" w:after="60"/>
      </w:pPr>
      <w:r>
        <w:rPr>
          <w:color w:val="000000"/>
          <w:sz w:val="22"/>
        </w:rPr>
        <w:t>E12</w:t>
      </w:r>
    </w:p>
    <w:p>
      <w:pPr>
        <w:keepNext/>
        <w:spacing w:after="60"/>
      </w:pPr>
      <w:r>
        <w:rPr>
          <w:sz w:val="18"/>
        </w:rPr>
        <w:t>DatosPorDefecto/CrearTablasMonitoreo.java:8  public static void crearTablas</w:t>
      </w:r>
    </w:p>
    <w:p>
      <w:pPr>
        <w:keepNext w:val="0"/>
        <w:spacing w:after="60"/>
      </w:pPr>
      <w:r>
        <w:rPr>
          <w:sz w:val="18"/>
        </w:rPr>
        <w:t>conecciones/CassandraSingleton.java:51  private static void crearKeyspace</w:t>
      </w:r>
    </w:p>
    <w:p>
      <w:pPr>
        <w:pStyle w:val="Heading2"/>
        <w:spacing w:before="100" w:after="60"/>
      </w:pPr>
      <w:r>
        <w:rPr>
          <w:color w:val="000000"/>
          <w:sz w:val="22"/>
        </w:rPr>
        <w:t>E13</w:t>
      </w:r>
    </w:p>
    <w:p>
      <w:pPr>
        <w:keepNext w:val="0"/>
        <w:spacing w:after="60"/>
      </w:pPr>
      <w:r>
        <w:rPr>
          <w:sz w:val="18"/>
        </w:rPr>
        <w:t>cassandra/monitoreo/dao/InsertarCassandraMonitoreo.java:17  public static void insertarLecturaSensor</w:t>
      </w:r>
    </w:p>
    <w:p>
      <w:pPr>
        <w:pStyle w:val="Heading2"/>
        <w:spacing w:before="100" w:after="60"/>
      </w:pPr>
      <w:r>
        <w:rPr>
          <w:color w:val="000000"/>
          <w:sz w:val="22"/>
        </w:rPr>
        <w:t>E14</w:t>
      </w:r>
    </w:p>
    <w:p>
      <w:pPr>
        <w:keepNext/>
        <w:spacing w:after="60"/>
      </w:pPr>
      <w:r>
        <w:rPr>
          <w:sz w:val="18"/>
        </w:rPr>
        <w:t>cassandra/monitoreo/dao/ConsultasCassandraMonitoreo.java:335  public List&lt;Row&gt; obtenerTodasLasPosicionesGPS</w:t>
      </w:r>
    </w:p>
    <w:p>
      <w:pPr>
        <w:keepNext w:val="0"/>
        <w:spacing w:after="60"/>
      </w:pPr>
      <w:r>
        <w:rPr>
          <w:sz w:val="18"/>
        </w:rPr>
        <w:t>cassandra/monitoreo/service/MonitoreoInsertService.java:77  private void validarLectura</w:t>
      </w:r>
    </w:p>
    <w:p>
      <w:pPr>
        <w:pStyle w:val="Heading2"/>
        <w:spacing w:before="100" w:after="60"/>
      </w:pPr>
      <w:r>
        <w:rPr>
          <w:color w:val="000000"/>
          <w:sz w:val="22"/>
        </w:rPr>
        <w:t>E15</w:t>
      </w:r>
    </w:p>
    <w:p>
      <w:pPr>
        <w:keepNext/>
        <w:spacing w:after="60"/>
      </w:pPr>
      <w:r>
        <w:rPr>
          <w:sz w:val="18"/>
        </w:rPr>
        <w:t>interfaz/principal/vistas/SeguimientoGPSPanelController.java:325  private void actualizarComboSensores</w:t>
      </w:r>
    </w:p>
    <w:p>
      <w:pPr>
        <w:keepNext w:val="0"/>
        <w:spacing w:after="60"/>
      </w:pPr>
      <w:r>
        <w:rPr>
          <w:sz w:val="18"/>
        </w:rPr>
        <w:t>interfaz/principal/vistas/SeguimientoGPSPanelController.java:345  private void mostrarDetallePunto</w:t>
      </w:r>
    </w:p>
    <w:p>
      <w:pPr>
        <w:pStyle w:val="Heading2"/>
        <w:spacing w:before="100" w:after="60"/>
      </w:pPr>
      <w:r>
        <w:rPr>
          <w:color w:val="000000"/>
          <w:sz w:val="22"/>
        </w:rPr>
        <w:t>E16</w:t>
      </w:r>
    </w:p>
    <w:p>
      <w:pPr>
        <w:keepNext/>
        <w:spacing w:after="60"/>
      </w:pPr>
      <w:r>
        <w:rPr>
          <w:sz w:val="18"/>
        </w:rPr>
        <w:t>usuarios/dao/SesionDAO.java:14  private static final String PREFIJO_SESION</w:t>
      </w:r>
    </w:p>
    <w:p>
      <w:pPr>
        <w:keepNext w:val="0"/>
        <w:spacing w:after="60"/>
      </w:pPr>
      <w:r>
        <w:rPr>
          <w:sz w:val="18"/>
        </w:rPr>
        <w:t>usuarios/service/SesionService.java:9  DURACION_SESION = 1800</w:t>
      </w:r>
    </w:p>
    <w:p>
      <w:pPr>
        <w:pStyle w:val="Heading2"/>
        <w:spacing w:before="100" w:after="60"/>
      </w:pPr>
      <w:r>
        <w:rPr>
          <w:color w:val="000000"/>
          <w:sz w:val="22"/>
        </w:rPr>
        <w:t>E17</w:t>
      </w:r>
    </w:p>
    <w:p>
      <w:pPr>
        <w:keepNext/>
        <w:spacing w:after="60"/>
      </w:pPr>
      <w:r>
        <w:rPr>
          <w:sz w:val="18"/>
        </w:rPr>
        <w:t>usuarios/service/AutenticacionService.java:26  public Document autenticar</w:t>
      </w:r>
    </w:p>
    <w:p>
      <w:pPr>
        <w:keepNext w:val="0"/>
        <w:spacing w:after="60"/>
      </w:pPr>
      <w:r>
        <w:rPr>
          <w:sz w:val="18"/>
        </w:rPr>
        <w:t>mongoDB/service/PermisosService.java:250  public boolean puedeAccederVista</w:t>
      </w:r>
    </w:p>
    <w:p>
      <w:pPr>
        <w:pStyle w:val="Heading2"/>
        <w:spacing w:before="100" w:after="60"/>
      </w:pPr>
      <w:r>
        <w:rPr>
          <w:color w:val="000000"/>
          <w:sz w:val="22"/>
        </w:rPr>
        <w:t>E18</w:t>
      </w:r>
    </w:p>
    <w:p>
      <w:pPr>
        <w:keepNext/>
        <w:spacing w:after="60"/>
      </w:pPr>
      <w:r>
        <w:rPr>
          <w:sz w:val="18"/>
        </w:rPr>
        <w:t>mongoDB/service/ConversacionService.java:24  public Conversacion crearConversacionPrivada</w:t>
      </w:r>
    </w:p>
    <w:p>
      <w:pPr>
        <w:keepNext w:val="0"/>
        <w:spacing w:after="60"/>
      </w:pPr>
      <w:r>
        <w:rPr>
          <w:sz w:val="18"/>
        </w:rPr>
        <w:t>mongoDB/service/MensajeService.java:36  public Mensaje enviarMensaje</w:t>
      </w:r>
    </w:p>
    <w:p>
      <w:pPr>
        <w:pStyle w:val="Heading2"/>
        <w:spacing w:before="100" w:after="60"/>
      </w:pPr>
      <w:r>
        <w:rPr>
          <w:color w:val="000000"/>
          <w:sz w:val="22"/>
        </w:rPr>
        <w:t>E19</w:t>
      </w:r>
    </w:p>
    <w:p>
      <w:pPr>
        <w:keepNext/>
        <w:spacing w:after="60"/>
      </w:pPr>
      <w:r>
        <w:rPr>
          <w:sz w:val="18"/>
        </w:rPr>
        <w:t>mongoDB/service/FacturaService.java:37  public void crearFactura</w:t>
      </w:r>
    </w:p>
    <w:p>
      <w:pPr>
        <w:keepNext/>
        <w:spacing w:after="60"/>
      </w:pPr>
      <w:r>
        <w:rPr>
          <w:sz w:val="18"/>
        </w:rPr>
        <w:t>interfaz/principal/vistas/FacturacionPanelController.java:521  private void agregarFactura</w:t>
      </w:r>
    </w:p>
    <w:p>
      <w:pPr>
        <w:keepNext w:val="0"/>
        <w:spacing w:after="60"/>
      </w:pPr>
      <w:r>
        <w:rPr>
          <w:sz w:val="18"/>
        </w:rPr>
        <w:t>pdf/factura/FacturaPDFGenerator.java:19  public File generar</w:t>
      </w:r>
    </w:p>
    <w:p>
      <w:pPr>
        <w:pStyle w:val="Heading2"/>
        <w:spacing w:before="100" w:after="60"/>
      </w:pPr>
      <w:r>
        <w:rPr>
          <w:color w:val="000000"/>
          <w:sz w:val="22"/>
        </w:rPr>
        <w:t>E20</w:t>
      </w:r>
    </w:p>
    <w:p>
      <w:pPr>
        <w:keepNext/>
        <w:spacing w:after="60"/>
      </w:pPr>
      <w:r>
        <w:rPr>
          <w:sz w:val="18"/>
        </w:rPr>
        <w:t>mongoDB/service/LogisticaMongoService.java:545  public void agregarPago</w:t>
      </w:r>
    </w:p>
    <w:p>
      <w:pPr>
        <w:keepNext w:val="0"/>
        <w:spacing w:after="60"/>
      </w:pPr>
      <w:r>
        <w:rPr>
          <w:sz w:val="18"/>
        </w:rPr>
        <w:t>mongoDB/service/LogisticaMongoService.java:586  public void agregarCuentaCorriente</w:t>
      </w:r>
    </w:p>
    <w:p>
      <w:pPr>
        <w:pStyle w:val="Heading2"/>
        <w:spacing w:before="100" w:after="60"/>
      </w:pPr>
      <w:r>
        <w:rPr>
          <w:color w:val="000000"/>
          <w:sz w:val="22"/>
        </w:rPr>
        <w:t>E21</w:t>
      </w:r>
    </w:p>
    <w:p>
      <w:pPr>
        <w:keepNext/>
        <w:spacing w:after="60"/>
      </w:pPr>
      <w:r>
        <w:rPr>
          <w:sz w:val="18"/>
        </w:rPr>
        <w:t>mongoDB/service/ReporteService.java:36  public void crearReporte</w:t>
      </w:r>
    </w:p>
    <w:p>
      <w:pPr>
        <w:keepNext w:val="0"/>
        <w:spacing w:after="60"/>
      </w:pPr>
      <w:r>
        <w:rPr>
          <w:sz w:val="18"/>
        </w:rPr>
        <w:t>interfaz/principal/vistas/ReportesPanelController.java:25  public class ReportesPanelController</w:t>
      </w:r>
    </w:p>
    <w:p>
      <w:pPr>
        <w:pStyle w:val="Heading2"/>
        <w:spacing w:before="100" w:after="60"/>
      </w:pPr>
      <w:r>
        <w:rPr>
          <w:color w:val="000000"/>
          <w:sz w:val="22"/>
        </w:rPr>
        <w:t>E22</w:t>
      </w:r>
    </w:p>
    <w:p>
      <w:pPr>
        <w:keepNext/>
        <w:spacing w:after="60"/>
      </w:pPr>
      <w:r>
        <w:rPr>
          <w:sz w:val="18"/>
        </w:rPr>
        <w:t>interfaz/principal/vistas/DashboardController.java:99  private void calcularIndicadoresLogisticos</w:t>
      </w:r>
    </w:p>
    <w:p>
      <w:pPr>
        <w:keepNext w:val="0"/>
        <w:spacing w:after="60"/>
      </w:pPr>
      <w:r>
        <w:rPr>
          <w:sz w:val="18"/>
        </w:rPr>
        <w:t>mongoDB/service/AlertaService.java:41  public void crearAlerta</w:t>
      </w:r>
    </w:p>
    <w:p>
      <w:pPr>
        <w:pStyle w:val="Heading2"/>
        <w:spacing w:before="100" w:after="60"/>
      </w:pPr>
      <w:r>
        <w:rPr>
          <w:color w:val="000000"/>
          <w:sz w:val="22"/>
        </w:rPr>
        <w:t>E23</w:t>
      </w:r>
    </w:p>
    <w:p>
      <w:pPr>
        <w:keepNext/>
        <w:spacing w:after="60"/>
      </w:pPr>
      <w:r>
        <w:rPr>
          <w:sz w:val="18"/>
        </w:rPr>
        <w:t>DatosPorDefecto/DatosPruebaTotal.java:23  public void cargarDatos</w:t>
      </w:r>
    </w:p>
    <w:p>
      <w:pPr>
        <w:keepNext/>
        <w:spacing w:after="60"/>
      </w:pPr>
      <w:r>
        <w:rPr>
          <w:sz w:val="18"/>
        </w:rPr>
        <w:t>DatosPorDefecto/GeneradorDatosPruebaMongo.java:41  public void generarDatos</w:t>
      </w:r>
    </w:p>
    <w:p>
      <w:pPr>
        <w:keepNext w:val="0"/>
        <w:spacing w:after="60"/>
      </w:pPr>
      <w:r>
        <w:rPr>
          <w:sz w:val="18"/>
        </w:rPr>
        <w:t>DatosPorDefecto/GeneradorDatosPruebaNeo.java:52  public static void sincronizarReferenciasMongo</w:t>
      </w:r>
    </w:p>
    <w:p>
      <w:pPr>
        <w:pStyle w:val="Heading2"/>
        <w:spacing w:before="100" w:after="60"/>
      </w:pPr>
      <w:r>
        <w:rPr>
          <w:color w:val="000000"/>
          <w:sz w:val="22"/>
        </w:rPr>
        <w:t>E24</w:t>
      </w:r>
    </w:p>
    <w:p>
      <w:pPr>
        <w:keepNext/>
        <w:spacing w:after="60"/>
      </w:pPr>
      <w:r>
        <w:rPr>
          <w:sz w:val="18"/>
        </w:rPr>
        <w:t>DatosPorDefecto/DatosDePruebaCassandra.java:79  public void insertarDatos</w:t>
      </w:r>
    </w:p>
    <w:p>
      <w:pPr>
        <w:keepNext w:val="0"/>
        <w:spacing w:after="60"/>
      </w:pPr>
      <w:r>
        <w:rPr>
          <w:sz w:val="18"/>
        </w:rPr>
        <w:t>DatosPorDefecto/GenerarDatosPruebaRedis.java:21  public static void generar</w:t>
      </w:r>
    </w:p>
    <w:p>
      <w:pPr>
        <w:pStyle w:val="Heading2"/>
        <w:spacing w:before="100" w:after="60"/>
      </w:pPr>
      <w:r>
        <w:rPr>
          <w:color w:val="000000"/>
          <w:sz w:val="22"/>
        </w:rPr>
        <w:t>E25</w:t>
      </w:r>
    </w:p>
    <w:p>
      <w:pPr>
        <w:keepNext w:val="0"/>
        <w:spacing w:after="60"/>
      </w:pPr>
      <w:r>
        <w:rPr>
          <w:sz w:val="18"/>
        </w:rPr>
        <w:t>src/test/java/org/example/neo4j/service/DisponibilidadContenedoresTest.java:40  public static void main</w:t>
      </w:r>
    </w:p>
    <w:p>
      <w:pPr>
        <w:pStyle w:val="Heading2"/>
        <w:spacing w:before="100" w:after="60"/>
      </w:pPr>
      <w:r>
        <w:rPr>
          <w:color w:val="000000"/>
          <w:sz w:val="22"/>
        </w:rPr>
        <w:t>E26</w:t>
      </w:r>
    </w:p>
    <w:p>
      <w:pPr>
        <w:keepNext/>
        <w:spacing w:after="60"/>
      </w:pPr>
      <w:r>
        <w:rPr>
          <w:sz w:val="18"/>
        </w:rPr>
        <w:t>mongoDB/controller/EnvioController.java:204  private Document documentoNeo4j</w:t>
      </w:r>
    </w:p>
    <w:p>
      <w:pPr>
        <w:keepNext/>
        <w:spacing w:after="60"/>
      </w:pPr>
      <w:r>
        <w:rPr>
          <w:sz w:val="18"/>
        </w:rPr>
        <w:t>mongoDB/service/IncidenteService.java:35  public void crearIncidente</w:t>
      </w:r>
    </w:p>
    <w:p>
      <w:pPr>
        <w:keepNext w:val="0"/>
        <w:spacing w:after="60"/>
      </w:pPr>
      <w:r>
        <w:rPr>
          <w:sz w:val="18"/>
        </w:rPr>
        <w:t>mongoDB/service/EventoLogisticoService.java:35  public void crearEvento</w:t>
      </w:r>
    </w:p>
    <w:p>
      <w:pPr>
        <w:pStyle w:val="Heading2"/>
        <w:spacing w:before="100" w:after="60"/>
      </w:pPr>
      <w:r>
        <w:rPr>
          <w:color w:val="000000"/>
          <w:sz w:val="22"/>
        </w:rPr>
        <w:t>E27</w:t>
      </w:r>
    </w:p>
    <w:p>
      <w:pPr>
        <w:keepNext w:val="0"/>
        <w:spacing w:after="60"/>
      </w:pPr>
      <w:r>
        <w:rPr>
          <w:sz w:val="18"/>
        </w:rPr>
        <w:t>interfaz/principal/vistas/AdministracionPanelController.java:576  private String mailDeUsuario</w:t>
      </w:r>
    </w:p>
    <w:p>
      <w:pPr>
        <w:pStyle w:val="Heading2"/>
        <w:spacing w:before="100" w:after="60"/>
      </w:pPr>
      <w:r>
        <w:rPr>
          <w:color w:val="000000"/>
          <w:sz w:val="22"/>
        </w:rPr>
        <w:t>E05</w:t>
      </w:r>
    </w:p>
    <w:p>
      <w:pPr>
        <w:keepNext/>
        <w:spacing w:after="60"/>
      </w:pPr>
      <w:r>
        <w:rPr>
          <w:sz w:val="18"/>
        </w:rPr>
        <w:t>mongoDB/dao/ClienteMongoDAO.java:74  public void agregar</w:t>
      </w:r>
    </w:p>
    <w:p>
      <w:pPr>
        <w:keepNext/>
        <w:spacing w:after="60"/>
      </w:pPr>
      <w:r>
        <w:rPr>
          <w:sz w:val="18"/>
        </w:rPr>
        <w:t>mongoDB/dao/UsuarioMongoDAO.java:42  public void agregar</w:t>
      </w:r>
    </w:p>
    <w:p>
      <w:pPr>
        <w:keepNext/>
        <w:spacing w:after="60"/>
      </w:pPr>
      <w:r>
        <w:rPr>
          <w:sz w:val="18"/>
        </w:rPr>
        <w:t>mongoDB/dao/RolMongoDAO.java:34  public void agregar</w:t>
      </w:r>
    </w:p>
    <w:p>
      <w:pPr>
        <w:keepNext/>
        <w:spacing w:after="60"/>
      </w:pPr>
      <w:r>
        <w:rPr>
          <w:sz w:val="18"/>
        </w:rPr>
        <w:t>mongoDB/dao/ContenedorMongoDAO.java:156  public void agregar</w:t>
      </w:r>
    </w:p>
    <w:p>
      <w:pPr>
        <w:keepNext/>
        <w:spacing w:after="60"/>
      </w:pPr>
      <w:r>
        <w:rPr>
          <w:sz w:val="18"/>
        </w:rPr>
        <w:t>mongoDB/dao/VehiculoMongoDAO.java:35  public void agregar</w:t>
      </w:r>
    </w:p>
    <w:p>
      <w:pPr>
        <w:keepNext/>
        <w:spacing w:after="60"/>
      </w:pPr>
      <w:r>
        <w:rPr>
          <w:sz w:val="18"/>
        </w:rPr>
        <w:t>mongoDB/dao/SensorMongoDAO.java:74  public void agregar</w:t>
      </w:r>
    </w:p>
    <w:p>
      <w:pPr>
        <w:keepNext/>
        <w:spacing w:after="60"/>
      </w:pPr>
      <w:r>
        <w:rPr>
          <w:sz w:val="18"/>
        </w:rPr>
        <w:t>mongoDB/dao/EventoLogisticoMongoDAO.java:34  public void agregar</w:t>
      </w:r>
    </w:p>
    <w:p>
      <w:pPr>
        <w:keepNext/>
        <w:spacing w:after="60"/>
      </w:pPr>
      <w:r>
        <w:rPr>
          <w:sz w:val="18"/>
        </w:rPr>
        <w:t>mongoDB/dao/IncidenteMongoDAO.java:34  public void agregar</w:t>
      </w:r>
    </w:p>
    <w:p>
      <w:pPr>
        <w:keepNext/>
        <w:spacing w:after="60"/>
      </w:pPr>
      <w:r>
        <w:rPr>
          <w:sz w:val="18"/>
        </w:rPr>
        <w:t>mongoDB/dao/AlertaMongoDAO.java:34  public void agregar</w:t>
      </w:r>
    </w:p>
    <w:p>
      <w:pPr>
        <w:keepNext/>
        <w:spacing w:after="60"/>
      </w:pPr>
      <w:r>
        <w:rPr>
          <w:sz w:val="18"/>
        </w:rPr>
        <w:t>mongoDB/dao/ReporteMongoDAO.java:34  public void agregar</w:t>
      </w:r>
    </w:p>
    <w:p>
      <w:pPr>
        <w:keepNext/>
        <w:spacing w:after="60"/>
      </w:pPr>
      <w:r>
        <w:rPr>
          <w:sz w:val="18"/>
        </w:rPr>
        <w:t>mongoDB/dao/FacturaMongoDAO.java:35  public void agregar</w:t>
      </w:r>
    </w:p>
    <w:p>
      <w:pPr>
        <w:keepNext/>
        <w:spacing w:after="60"/>
      </w:pPr>
      <w:r>
        <w:rPr>
          <w:sz w:val="18"/>
        </w:rPr>
        <w:t>mongoDB/dao/PagoMongoDAO.java:35  public void agregar</w:t>
      </w:r>
    </w:p>
    <w:p>
      <w:pPr>
        <w:keepNext/>
        <w:spacing w:after="60"/>
      </w:pPr>
      <w:r>
        <w:rPr>
          <w:sz w:val="18"/>
        </w:rPr>
        <w:t>mongoDB/dao/CuentaCorrienteMongoDAO.java:41  public void agregar</w:t>
      </w:r>
    </w:p>
    <w:p>
      <w:pPr>
        <w:keepNext/>
        <w:spacing w:after="60"/>
      </w:pPr>
      <w:r>
        <w:rPr>
          <w:sz w:val="18"/>
        </w:rPr>
        <w:t>mongoDB/dao/ConversacionMongoDAO.java:45  public void agregar</w:t>
      </w:r>
    </w:p>
    <w:p>
      <w:pPr>
        <w:keepNext w:val="0"/>
        <w:spacing w:after="60"/>
      </w:pPr>
      <w:r>
        <w:rPr>
          <w:sz w:val="18"/>
        </w:rPr>
        <w:t>mongoDB/dao/MensajeMongoDAO.java:43  public void agregar</w:t>
      </w:r>
    </w:p>
    <w:p>
      <w:pPr>
        <w:pStyle w:val="Heading2"/>
        <w:spacing w:before="100" w:after="60"/>
      </w:pPr>
      <w:r>
        <w:rPr>
          <w:color w:val="000000"/>
          <w:sz w:val="22"/>
        </w:rPr>
        <w:t>E28</w:t>
      </w:r>
    </w:p>
    <w:p>
      <w:pPr>
        <w:keepNext/>
        <w:spacing w:after="60"/>
      </w:pPr>
      <w:r>
        <w:rPr>
          <w:sz w:val="18"/>
        </w:rPr>
        <w:t>conecciones/MongoSingleton.java:15  public static</w:t>
      </w:r>
    </w:p>
    <w:p>
      <w:pPr>
        <w:keepNext/>
        <w:spacing w:after="60"/>
      </w:pPr>
      <w:r>
        <w:rPr>
          <w:sz w:val="18"/>
        </w:rPr>
        <w:t>conecciones/Neo4jSingleton.java:20  public static</w:t>
      </w:r>
    </w:p>
    <w:p>
      <w:pPr>
        <w:keepNext/>
        <w:spacing w:after="60"/>
      </w:pPr>
      <w:r>
        <w:rPr>
          <w:sz w:val="18"/>
        </w:rPr>
        <w:t>conecciones/CassandraSingleton.java:20  public static</w:t>
      </w:r>
    </w:p>
    <w:p>
      <w:pPr>
        <w:keepNext w:val="0"/>
        <w:spacing w:after="60"/>
      </w:pPr>
      <w:r>
        <w:rPr>
          <w:sz w:val="18"/>
        </w:rPr>
        <w:t>conecciones/RedisSingleton.java:14  public static</w:t>
      </w:r>
    </w:p>
    <w:p>
      <w:r>
        <w:t>Consigna de referencia: TP_Persistencia_Poliglota.pdf, páginas 1 y 2 para persistencia y modelado, páginas 6 y 7 para funciones y procesos, y página 8 para calidad y entregables.</w:t>
      </w:r>
    </w:p>
    <w:p>
      <w:pPr>
        <w:pStyle w:val="Heading2"/>
        <w:spacing w:before="100" w:after="60"/>
      </w:pPr>
      <w:r>
        <w:rPr>
          <w:color w:val="000000"/>
          <w:sz w:val="22"/>
        </w:rPr>
        <w:t>E29</w:t>
      </w:r>
    </w:p>
    <w:p>
      <w:pPr>
        <w:spacing w:after="60"/>
      </w:pPr>
      <w:r>
        <w:rPr>
          <w:sz w:val="18"/>
        </w:rPr>
        <w:t>mongoDB/service/CuentaCorrienteService.java:30  public class CuentaCorrienteService</w:t>
      </w:r>
    </w:p>
    <w:p>
      <w:pPr>
        <w:spacing w:after="60"/>
      </w:pPr>
      <w:r>
        <w:rPr>
          <w:sz w:val="18"/>
        </w:rPr>
        <w:t>mongoDB/service/CierreMensualCuentaCorrienteService.java:26  public class CierreMensualCuentaCorrienteService</w:t>
      </w:r>
    </w:p>
    <w:p>
      <w:pPr>
        <w:spacing w:after="60"/>
      </w:pPr>
      <w:r>
        <w:rPr>
          <w:sz w:val="18"/>
        </w:rPr>
        <w:t>mongoDB/dao/MovimientoCuentaCorrienteMongoDAO.java:25  public class MovimientoCuentaCorrienteMongoDAO</w:t>
      </w:r>
    </w:p>
    <w:p>
      <w:pPr>
        <w:spacing w:after="60"/>
      </w:pPr>
      <w:r>
        <w:rPr>
          <w:sz w:val="18"/>
        </w:rPr>
        <w:t>mongoDB/dao/CierreMensualCuentaCorrienteMongoDAO.java:24  public class CierreMensualCuentaCorrienteMongoDAO</w:t>
      </w:r>
    </w:p>
    <w:p>
      <w:pPr>
        <w:spacing w:after="60"/>
      </w:pPr>
      <w:r>
        <w:rPr>
          <w:sz w:val="18"/>
        </w:rPr>
        <w:t>interfaz/principal/vistas/CuentasCorrientesPanelController.java:24  public class CuentasCorrientesPanelController</w:t>
      </w:r>
    </w:p>
    <w:p>
      <w:pPr>
        <w:spacing w:after="60"/>
      </w:pPr>
      <w:r>
        <w:rPr>
          <w:sz w:val="18"/>
        </w:rPr>
        <w:t>mongoDB/PruebaCuentaCorriente.java:8  public class PruebaCuentaCorriente</w:t>
      </w:r>
    </w:p>
    <w:p>
      <w:pPr>
        <w:pStyle w:val="Heading2"/>
        <w:spacing w:before="100" w:after="60"/>
      </w:pPr>
      <w:r>
        <w:rPr>
          <w:color w:val="000000"/>
          <w:sz w:val="22"/>
        </w:rPr>
        <w:t>E30</w:t>
      </w:r>
    </w:p>
    <w:p>
      <w:pPr>
        <w:spacing w:after="60"/>
      </w:pPr>
      <w:r>
        <w:rPr>
          <w:sz w:val="18"/>
        </w:rPr>
        <w:t>pdf/reporte/ReportePDFService.java:25  public class ReportePDFService</w:t>
      </w:r>
    </w:p>
    <w:p>
      <w:pPr>
        <w:spacing w:after="60"/>
      </w:pPr>
      <w:r>
        <w:rPr>
          <w:sz w:val="18"/>
        </w:rPr>
        <w:t>pdf/reporte/ReportePDFGenerator.java:19  public class ReportePDFGenerator</w:t>
      </w:r>
    </w:p>
    <w:p>
      <w:pPr>
        <w:pStyle w:val="Heading2"/>
        <w:spacing w:before="100" w:after="60"/>
      </w:pPr>
      <w:r>
        <w:rPr>
          <w:color w:val="000000"/>
          <w:sz w:val="22"/>
        </w:rPr>
        <w:t>E31</w:t>
      </w:r>
    </w:p>
    <w:p>
      <w:pPr>
        <w:spacing w:after="60"/>
      </w:pPr>
      <w:r>
        <w:rPr>
          <w:sz w:val="18"/>
        </w:rPr>
        <w:t>interfaz/principal/vistas/ClientesPanelController.java:100  private void cargarRankingEnvios</w:t>
      </w:r>
    </w:p>
    <w:sectPr w:rsidR="00FC693F" w:rsidRPr="0006063C" w:rsidSect="00034616">
      <w:footerReference w:type="default" r:id="rId9"/>
      <w:pgSz w:w="12240" w:h="15840"/>
      <w:pgMar w:top="1080" w:right="1152" w:bottom="1080"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 la plataforma de logística y monitoreo</dc:title>
  <dc:subject>Persistencia políglota y modelos físicos</dc:subject>
  <dc:creator/>
  <cp:keywords/>
  <dc:description>generated by python-docx</dc:description>
  <cp:lastModifiedBy/>
  <cp:revision>1</cp:revision>
  <dcterms:created xsi:type="dcterms:W3CDTF">2013-12-23T23:15:00Z</dcterms:created>
  <dcterms:modified xsi:type="dcterms:W3CDTF">2026-10-20T00:00:00Z</dcterms:modified>
  <cp:category/>
</cp:coreProperties>
</file>