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4D4" w:rsidRDefault="00B354D4" w:rsidP="00B354D4">
      <w:pPr>
        <w:pStyle w:val="CURSO"/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-1530350</wp:posOffset>
            </wp:positionV>
            <wp:extent cx="7543800" cy="1067087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da proyecto final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6E33" w:rsidRDefault="0007312F" w:rsidP="00116E33">
      <w:pPr>
        <w:rPr>
          <w:rStyle w:val="CURSOCar"/>
        </w:rPr>
      </w:pPr>
      <w:r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71120</wp:posOffset>
                </wp:positionH>
                <wp:positionV relativeFrom="paragraph">
                  <wp:posOffset>2288540</wp:posOffset>
                </wp:positionV>
                <wp:extent cx="5203825" cy="140970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3825" cy="140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6E33" w:rsidRPr="00391AED" w:rsidRDefault="00391AED" w:rsidP="00116E33">
                            <w:pPr>
                              <w:pStyle w:val="CURSO"/>
                              <w:rPr>
                                <w:sz w:val="144"/>
                                <w:szCs w:val="104"/>
                              </w:rPr>
                            </w:pPr>
                            <w:r w:rsidRPr="00391AED">
                              <w:rPr>
                                <w:sz w:val="144"/>
                                <w:szCs w:val="104"/>
                              </w:rPr>
                              <w:t>BIG DATA</w:t>
                            </w:r>
                          </w:p>
                          <w:p w:rsidR="00116E33" w:rsidRPr="0007312F" w:rsidRDefault="00116E33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.6pt;margin-top:180.2pt;width:409.75pt;height:1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" filled="f" stroked="f">
                <v:textbox>
                  <w:txbxContent>
                    <w:p w:rsidR="00116E33" w:rsidRPr="00391AED" w:rsidRDefault="00391AED" w:rsidP="00116E33">
                      <w:pPr>
                        <w:pStyle w:val="CURSO"/>
                        <w:rPr>
                          <w:sz w:val="144"/>
                          <w:szCs w:val="104"/>
                        </w:rPr>
                      </w:pPr>
                      <w:r w:rsidRPr="00391AED">
                        <w:rPr>
                          <w:sz w:val="144"/>
                          <w:szCs w:val="104"/>
                        </w:rPr>
                        <w:t>BIG DATA</w:t>
                      </w:r>
                    </w:p>
                    <w:p w:rsidR="00116E33" w:rsidRPr="0007312F" w:rsidRDefault="00116E33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8384E" w:rsidRPr="0038384E">
        <w:rPr>
          <w:rStyle w:val="TokioCar"/>
          <w:noProof/>
          <w:color w:val="000F9F"/>
          <w:lang w:eastAsia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1737995</wp:posOffset>
                </wp:positionH>
                <wp:positionV relativeFrom="paragraph">
                  <wp:posOffset>4345940</wp:posOffset>
                </wp:positionV>
                <wp:extent cx="3324225" cy="1404620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384E" w:rsidRPr="0038384E" w:rsidRDefault="0038384E" w:rsidP="0038384E">
                            <w:pPr>
                              <w:pStyle w:val="CURS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Juan David Collazos González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36.85pt;margin-top:342.2pt;width:261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" filled="f" stroked="f">
                <v:textbox style="mso-fit-shape-to-text:t">
                  <w:txbxContent>
                    <w:p w:rsidR="0038384E" w:rsidRPr="0038384E" w:rsidRDefault="0038384E" w:rsidP="0038384E">
                      <w:pPr>
                        <w:pStyle w:val="CURS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Juan David Collazos González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4E44"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3736340</wp:posOffset>
                </wp:positionV>
                <wp:extent cx="2781300" cy="51435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514350"/>
                        </a:xfrm>
                        <a:prstGeom prst="rect">
                          <a:avLst/>
                        </a:prstGeom>
                        <a:solidFill>
                          <a:srgbClr val="FF64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54EE0" id="Rectángulo 2" o:spid="_x0000_s1026" style="position:absolute;margin-left:157.1pt;margin-top:294.2pt;width:219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" fillcolor="#ff647e" stroked="f" strokeweight="1pt"/>
            </w:pict>
          </mc:Fallback>
        </mc:AlternateContent>
      </w:r>
      <w:r w:rsidR="00EB4E44"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3793490</wp:posOffset>
                </wp:positionV>
                <wp:extent cx="2524125" cy="1404620"/>
                <wp:effectExtent l="0" t="0" r="0" b="38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6E33" w:rsidRPr="00116E33" w:rsidRDefault="00116E33" w:rsidP="00116E33">
                            <w:pPr>
                              <w:pStyle w:val="CURSO"/>
                              <w:rPr>
                                <w:color w:val="FFFFFF" w:themeColor="background1"/>
                              </w:rPr>
                            </w:pPr>
                            <w:r w:rsidRPr="00116E33">
                              <w:rPr>
                                <w:color w:val="FFFFFF" w:themeColor="background1"/>
                              </w:rPr>
                              <w:t>PROYECTO FINAL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66.8pt;margin-top:298.7pt;width:198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" filled="f" stroked="f">
                <v:textbox style="mso-fit-shape-to-text:t">
                  <w:txbxContent>
                    <w:p w:rsidR="00116E33" w:rsidRPr="00116E33" w:rsidRDefault="00116E33" w:rsidP="00116E33">
                      <w:pPr>
                        <w:pStyle w:val="CURSO"/>
                        <w:rPr>
                          <w:color w:val="FFFFFF" w:themeColor="background1"/>
                        </w:rPr>
                      </w:pPr>
                      <w:r w:rsidRPr="00116E33">
                        <w:rPr>
                          <w:color w:val="FFFFFF" w:themeColor="background1"/>
                        </w:rPr>
                        <w:t>PROYECTO FINAL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6E33" w:rsidRPr="00116E33">
        <w:rPr>
          <w:rStyle w:val="CURSOCar"/>
        </w:rPr>
        <w:br w:type="page"/>
      </w: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Pr="00B82A65" w:rsidRDefault="00B82A65" w:rsidP="009802B8">
      <w:pPr>
        <w:jc w:val="right"/>
        <w:rPr>
          <w:color w:val="808080" w:themeColor="background1" w:themeShade="80"/>
        </w:rPr>
      </w:pPr>
      <w:r w:rsidRPr="00B82A65">
        <w:rPr>
          <w:color w:val="808080" w:themeColor="background1" w:themeShade="80"/>
        </w:rPr>
        <w:t>(tu foto)</w:t>
      </w:r>
    </w:p>
    <w:p w:rsidR="009802B8" w:rsidRPr="009802B8" w:rsidRDefault="00A50DE0" w:rsidP="009802B8">
      <w:pPr>
        <w:jc w:val="right"/>
        <w:rPr>
          <w:color w:val="000F9F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97.85pt;margin-top:-.75pt;width:348.75pt;height:340.05pt;z-index:251669504;mso-position-horizontal-relative:text;mso-position-vertical-relative:text;mso-width-relative:page;mso-height-relative:page" stroked="t" strokecolor="#000f9f" strokeweight="6pt">
            <v:imagedata r:id="rId8" o:title="ellyot-588130-unsplash" cropleft="14396f" cropright="6298f"/>
          </v:shape>
        </w:pict>
      </w: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Pr="009802B8" w:rsidRDefault="009802B8" w:rsidP="009802B8">
      <w:pPr>
        <w:jc w:val="right"/>
        <w:rPr>
          <w:color w:val="000F9F"/>
        </w:rPr>
      </w:pPr>
    </w:p>
    <w:p w:rsidR="009802B8" w:rsidRPr="009802B8" w:rsidRDefault="009802B8" w:rsidP="009802B8">
      <w:pPr>
        <w:jc w:val="right"/>
        <w:rPr>
          <w:color w:val="000F9F"/>
        </w:rPr>
      </w:pPr>
    </w:p>
    <w:p w:rsidR="009802B8" w:rsidRPr="009802B8" w:rsidRDefault="009802B8" w:rsidP="009802B8">
      <w:pPr>
        <w:pStyle w:val="CURSO"/>
        <w:jc w:val="right"/>
      </w:pPr>
      <w:r w:rsidRPr="009802B8">
        <w:t>JUAN DAVID COLLAZOS GONZÁLEZ</w:t>
      </w:r>
    </w:p>
    <w:p w:rsidR="005561EF" w:rsidRPr="009802B8" w:rsidRDefault="009802B8" w:rsidP="009802B8">
      <w:pPr>
        <w:jc w:val="right"/>
        <w:rPr>
          <w:color w:val="000F9F"/>
          <w:sz w:val="24"/>
        </w:rPr>
      </w:pPr>
      <w:r w:rsidRPr="009802B8">
        <w:rPr>
          <w:color w:val="000F9F"/>
          <w:sz w:val="24"/>
        </w:rPr>
        <w:t>RESPONSABLE DE</w:t>
      </w:r>
      <w:r w:rsidR="004808A3">
        <w:rPr>
          <w:color w:val="000F9F"/>
          <w:sz w:val="24"/>
        </w:rPr>
        <w:t>L DESARROLLO DE LA APLICACIÓN</w:t>
      </w:r>
      <w:r w:rsidRPr="009802B8">
        <w:rPr>
          <w:color w:val="000F9F"/>
          <w:sz w:val="24"/>
        </w:rPr>
        <w:t xml:space="preserve"> </w:t>
      </w:r>
    </w:p>
    <w:p w:rsidR="009802B8" w:rsidRDefault="009802B8" w:rsidP="009802B8">
      <w:pPr>
        <w:jc w:val="right"/>
      </w:pPr>
      <w:r w:rsidRPr="009802B8">
        <w:rPr>
          <w:b/>
          <w:color w:val="000F9F"/>
        </w:rPr>
        <w:t>Fecha:</w:t>
      </w:r>
      <w:r>
        <w:t xml:space="preserve"> </w:t>
      </w:r>
      <w:r w:rsidRPr="009802B8">
        <w:rPr>
          <w:color w:val="A6A6A6" w:themeColor="background1" w:themeShade="A6"/>
        </w:rPr>
        <w:t>03 de julio de 2026</w:t>
      </w:r>
      <w:r>
        <w:rPr>
          <w:color w:val="A6A6A6" w:themeColor="background1" w:themeShade="A6"/>
        </w:rPr>
      </w:r>
      <w:r w:rsidRPr="009802B8">
        <w:rPr>
          <w:color w:val="A6A6A6" w:themeColor="background1" w:themeShade="A6"/>
        </w:rPr>
      </w:r>
      <w:r/>
    </w:p>
    <w:p w:rsidR="005561EF" w:rsidRDefault="005561EF" w:rsidP="005561EF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6D5B6D">
        <w:rPr>
          <w:rStyle w:val="TokioCar"/>
          <w:rFonts w:ascii="Circular Std Black" w:hAnsi="Circular Std Black" w:cs="Circular Std Black"/>
          <w:b/>
          <w:color w:val="000F9F"/>
          <w:sz w:val="32"/>
        </w:rPr>
        <w:t>DESARROLLO</w:t>
      </w:r>
    </w:p>
    <w:p>
      <w:pPr>
        <w:spacing w:before="280" w:after="120"/>
        <w:pBdr>
          <w:bottom w:val="single" w:sz="6" w:space="4" w:color="D5D5E5"/>
        </w:pBdr>
      </w:pPr>
      <w:r>
        <w:rPr>
          <w:rFonts w:ascii="Titillium Web" w:hAnsi="Titillium Web"/>
          <w:b/>
          <w:i w:val="0"/>
          <w:color w:val="000F9F"/>
          <w:sz w:val="28"/>
        </w:rPr>
        <w:t>1. Introducción y escenario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>Como analista de Big Data en Tokio Telecom, el objetivo de este proyecto es analizar un conjunto de datos de clientes de telefonía móvil y su baja de servicio (churn) para extraer conocimiento accionable y construir un modelo capaz de anticipar qué clientes abandonarán la compañía.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El conjunto de datos, </w:t>
      </w:r>
      <w:r>
        <w:rPr>
          <w:rFonts w:ascii="Consolas" w:hAnsi="Consolas"/>
          <w:b w:val="0"/>
          <w:i w:val="0"/>
          <w:sz w:val="20"/>
        </w:rPr>
        <w:t>customer_churn_10k.csv</w:t>
      </w:r>
      <w:r>
        <w:rPr>
          <w:rFonts w:ascii="Titillium Web" w:hAnsi="Titillium Web"/>
          <w:b w:val="0"/>
          <w:i w:val="0"/>
          <w:sz w:val="22"/>
        </w:rPr>
        <w:t xml:space="preserve">, contiene </w:t>
      </w:r>
      <w:r>
        <w:rPr>
          <w:rFonts w:ascii="Titillium Web" w:hAnsi="Titillium Web"/>
          <w:b/>
          <w:i w:val="0"/>
          <w:sz w:val="22"/>
        </w:rPr>
        <w:t>10.000 registros y 12 campos</w:t>
      </w:r>
      <w:r>
        <w:rPr>
          <w:rFonts w:ascii="Titillium Web" w:hAnsi="Titillium Web"/>
          <w:b w:val="0"/>
          <w:i w:val="0"/>
          <w:sz w:val="22"/>
        </w:rPr>
        <w:t xml:space="preserve">. La variable objetivo es </w:t>
      </w:r>
      <w:r>
        <w:rPr>
          <w:rFonts w:ascii="Consolas" w:hAnsi="Consolas"/>
          <w:b w:val="0"/>
          <w:i w:val="0"/>
          <w:sz w:val="20"/>
        </w:rPr>
        <w:t>Churn_YesNo</w:t>
      </w:r>
      <w:r>
        <w:rPr>
          <w:rFonts w:ascii="Titillium Web" w:hAnsi="Titillium Web"/>
          <w:b w:val="0"/>
          <w:i w:val="0"/>
          <w:sz w:val="22"/>
        </w:rPr>
        <w:t xml:space="preserve"> (Yes = el cliente se ha dado de baja). El análisis se ha desarrollado con Apache Cassandra (almacenamiento y consultas CQL) y con PySpark sobre Google Colab (análisis descriptivo, correlación y aprendizaje automático).</w:t>
      </w:r>
    </w:p>
    <w:p>
      <w:pPr>
        <w:spacing w:after="160" w:line="276" w:lineRule="auto"/>
      </w:pPr>
      <w:r>
        <w:rPr>
          <w:rFonts w:ascii="Titillium Web" w:hAnsi="Titillium Web"/>
          <w:b/>
          <w:i w:val="0"/>
          <w:sz w:val="22"/>
        </w:rPr>
        <w:t xml:space="preserve">Nota metodológica: </w:t>
      </w:r>
      <w:r>
        <w:rPr>
          <w:rFonts w:ascii="Titillium Web" w:hAnsi="Titillium Web"/>
          <w:b w:val="0"/>
          <w:i w:val="0"/>
          <w:sz w:val="22"/>
        </w:rPr>
        <w:t>todos los resultados numéricos y gráficos de este informe se han obtenido ejecutando el código PySpark recogido en el documento técnico y en el notebook entregable (</w:t>
      </w:r>
      <w:r>
        <w:rPr>
          <w:rFonts w:ascii="Consolas" w:hAnsi="Consolas"/>
          <w:b w:val="0"/>
          <w:i w:val="0"/>
          <w:sz w:val="20"/>
        </w:rPr>
        <w:t>churn_pyspark_colab.ipynb</w:t>
      </w:r>
      <w:r>
        <w:rPr>
          <w:rFonts w:ascii="Titillium Web" w:hAnsi="Titillium Web"/>
          <w:b w:val="0"/>
          <w:i w:val="0"/>
          <w:sz w:val="22"/>
        </w:rPr>
        <w:t>). Las cifras son, por tanto, reproducibles.</w:t>
      </w:r>
    </w:p>
    <w:p>
      <w:pPr>
        <w:spacing w:before="280" w:after="120"/>
        <w:pBdr>
          <w:bottom w:val="single" w:sz="6" w:space="4" w:color="D5D5E5"/>
        </w:pBdr>
      </w:pPr>
      <w:r>
        <w:rPr>
          <w:rFonts w:ascii="Titillium Web" w:hAnsi="Titillium Web"/>
          <w:b/>
          <w:i w:val="0"/>
          <w:color w:val="000F9F"/>
          <w:sz w:val="28"/>
        </w:rPr>
        <w:t>2. Tarea 1 — Estructura y tipos de datos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>El primer paso consiste en conocer con qué datos contamos, clasificando cada campo según su naturaleza estadística.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465"/>
        <w:gridCol w:w="4465"/>
      </w:tblGrid>
      <w:tr>
        <w:tc>
          <w:tcPr>
            <w:tcW w:type="dxa" w:w="432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Nombre del Campo</w:t>
            </w:r>
          </w:p>
        </w:tc>
        <w:tc>
          <w:tcPr>
            <w:tcW w:type="dxa" w:w="432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Tipo de dato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CustomerID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000F9F"/>
                <w:sz w:val="20"/>
              </w:rPr>
              <w:t>Categórico nominal (identificador)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Numérico discreto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Gender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Categórico nominal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Tenure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Numérico discreto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Usage Frequency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Numérico discreto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Support Calls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Numérico discreto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Payment Delay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Numérico discreto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Subscription Type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Categórico nominal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Contract Length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Categórico ordinal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Total Spend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Numérico continuo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Last Interaction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Numérico discreto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Churn_YesNo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Categórico binario</w:t>
            </w:r>
          </w:p>
        </w:tc>
      </w:tr>
    </w:tbl>
    <w:p>
      <w:pPr>
        <w:spacing w:after="40" w:line="276" w:lineRule="auto"/>
      </w:pPr>
      <w:r>
        <w:rPr>
          <w:rFonts w:ascii="Titillium Web" w:hAnsi="Titillium Web"/>
          <w:b w:val="0"/>
          <w:i w:val="0"/>
          <w:sz w:val="22"/>
        </w:rPr>
      </w:r>
    </w:p>
    <w:p>
      <w:pPr>
        <w:spacing w:after="160" w:line="276" w:lineRule="auto"/>
      </w:pPr>
      <w:r>
        <w:rPr>
          <w:rFonts w:ascii="Titillium Web" w:hAnsi="Titillium Web"/>
          <w:b/>
          <w:i w:val="0"/>
          <w:sz w:val="22"/>
        </w:rPr>
        <w:t xml:space="preserve">Decisión de análisis relevante: </w:t>
      </w:r>
      <w:r>
        <w:rPr>
          <w:rFonts w:ascii="Titillium Web" w:hAnsi="Titillium Web"/>
          <w:b w:val="0"/>
          <w:i w:val="0"/>
          <w:sz w:val="22"/>
        </w:rPr>
        <w:t xml:space="preserve">aunque </w:t>
      </w:r>
      <w:r>
        <w:rPr>
          <w:rFonts w:ascii="Consolas" w:hAnsi="Consolas"/>
          <w:b w:val="0"/>
          <w:i w:val="0"/>
          <w:sz w:val="20"/>
        </w:rPr>
        <w:t>CustomerID</w:t>
      </w:r>
      <w:r>
        <w:rPr>
          <w:rFonts w:ascii="Titillium Web" w:hAnsi="Titillium Web"/>
          <w:b w:val="0"/>
          <w:i w:val="0"/>
          <w:sz w:val="22"/>
        </w:rPr>
        <w:t xml:space="preserve"> se almacena como número, es un identificador y debe tratarse como variable </w:t>
      </w:r>
      <w:r>
        <w:rPr>
          <w:rFonts w:ascii="Titillium Web" w:hAnsi="Titillium Web"/>
          <w:b/>
          <w:i w:val="0"/>
          <w:sz w:val="22"/>
        </w:rPr>
        <w:t>categórica</w:t>
      </w:r>
      <w:r>
        <w:rPr>
          <w:rFonts w:ascii="Titillium Web" w:hAnsi="Titillium Web"/>
          <w:b w:val="0"/>
          <w:i w:val="0"/>
          <w:sz w:val="22"/>
        </w:rPr>
        <w:t xml:space="preserve">. No tiene sentido calcular su media ni su correlación y se excluye de todos los modelos, tal como indica el enunciado. </w:t>
      </w:r>
      <w:r>
        <w:rPr>
          <w:rFonts w:ascii="Consolas" w:hAnsi="Consolas"/>
          <w:b w:val="0"/>
          <w:i w:val="0"/>
          <w:sz w:val="20"/>
        </w:rPr>
        <w:t>Contract Length</w:t>
      </w:r>
      <w:r>
        <w:rPr>
          <w:rFonts w:ascii="Titillium Web" w:hAnsi="Titillium Web"/>
          <w:b w:val="0"/>
          <w:i w:val="0"/>
          <w:sz w:val="22"/>
        </w:rPr>
        <w:t xml:space="preserve"> es categórica ordinal (Monthly &lt; Quarterly &lt; Annual) y </w:t>
      </w:r>
      <w:r>
        <w:rPr>
          <w:rFonts w:ascii="Consolas" w:hAnsi="Consolas"/>
          <w:b w:val="0"/>
          <w:i w:val="0"/>
          <w:sz w:val="20"/>
        </w:rPr>
        <w:t>Total Spend</w:t>
      </w:r>
      <w:r>
        <w:rPr>
          <w:rFonts w:ascii="Titillium Web" w:hAnsi="Titillium Web"/>
          <w:b w:val="0"/>
          <w:i w:val="0"/>
          <w:sz w:val="22"/>
        </w:rPr>
        <w:t xml:space="preserve"> es la única variable continua.</w:t>
      </w:r>
    </w:p>
    <w:p>
      <w:pPr>
        <w:spacing w:before="280" w:after="120"/>
        <w:pBdr>
          <w:bottom w:val="single" w:sz="6" w:space="4" w:color="D5D5E5"/>
        </w:pBdr>
      </w:pPr>
      <w:r>
        <w:rPr>
          <w:rFonts w:ascii="Titillium Web" w:hAnsi="Titillium Web"/>
          <w:b/>
          <w:i w:val="0"/>
          <w:color w:val="000F9F"/>
          <w:sz w:val="28"/>
        </w:rPr>
        <w:t>3. Tarea 2 — Almacenamiento y consultas en Cassandra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Con la interfaz </w:t>
      </w:r>
      <w:r>
        <w:rPr>
          <w:rFonts w:ascii="Consolas" w:hAnsi="Consolas"/>
          <w:b w:val="0"/>
          <w:i w:val="0"/>
          <w:sz w:val="20"/>
        </w:rPr>
        <w:t>cqlsh</w:t>
      </w:r>
      <w:r>
        <w:rPr>
          <w:rFonts w:ascii="Titillium Web" w:hAnsi="Titillium Web"/>
          <w:b w:val="0"/>
          <w:i w:val="0"/>
          <w:sz w:val="22"/>
        </w:rPr>
        <w:t xml:space="preserve">, se preparó la estructura en Apache Cassandra y se insertaron los 10.000 registros para ejecutar las consultas solicitadas. Los comandos completos se recogen en el fichero </w:t>
      </w:r>
      <w:r>
        <w:rPr>
          <w:rFonts w:ascii="Consolas" w:hAnsi="Consolas"/>
          <w:b w:val="0"/>
          <w:i w:val="0"/>
          <w:sz w:val="20"/>
        </w:rPr>
        <w:t>comandos_cassandra.txt</w:t>
      </w:r>
      <w:r>
        <w:rPr>
          <w:rFonts w:ascii="Titillium Web" w:hAnsi="Titillium Web"/>
          <w:b w:val="0"/>
          <w:i w:val="0"/>
          <w:sz w:val="22"/>
        </w:rPr>
        <w:t>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3.1 Entorno de trabajo: Cassandra sobre Docker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Cassandra se ejecutó en un contenedor Docker local, de modo que el entorno es totalmente reproducible sin instalar Cassandra en el sistema anfitrión. La secuencia fue: levantar el contenedor, copiar el CSV en su interior, abrir </w:t>
      </w:r>
      <w:r>
        <w:rPr>
          <w:rFonts w:ascii="Consolas" w:hAnsi="Consolas"/>
          <w:b w:val="0"/>
          <w:i w:val="0"/>
          <w:sz w:val="20"/>
        </w:rPr>
        <w:t>cqlsh</w:t>
      </w:r>
      <w:r>
        <w:rPr>
          <w:rFonts w:ascii="Titillium Web" w:hAnsi="Titillium Web"/>
          <w:b w:val="0"/>
          <w:i w:val="0"/>
          <w:sz w:val="22"/>
        </w:rPr>
        <w:t>, crear el keyspace y la tabla, e importar los datos.</w:t>
      </w:r>
    </w:p>
    <w:p>
      <w:pPr>
        <w:spacing w:before="80" w:after="200"/>
        <w:shd w:val="clear" w:fill="F4F4F8"/>
      </w:pPr>
      <w:r>
        <w:rPr>
          <w:rFonts w:ascii="Consolas" w:hAnsi="Consolas"/>
          <w:b w:val="0"/>
          <w:i w:val="0"/>
          <w:color w:val="222222"/>
          <w:sz w:val="18"/>
        </w:rPr>
        <w:t># Levantar Cassandra en un contenedor Docker</w:t>
        <w:br/>
      </w:r>
      <w:r>
        <w:rPr>
          <w:rFonts w:ascii="Consolas" w:hAnsi="Consolas"/>
          <w:b w:val="0"/>
          <w:i w:val="0"/>
          <w:color w:val="222222"/>
          <w:sz w:val="18"/>
        </w:rPr>
        <w:t>docker run --name cassandra-tokio -p 9042:9042 -d cassandra:5.0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># Copiar el CSV dentro del contenedor e importarlo</w:t>
        <w:br/>
      </w:r>
      <w:r>
        <w:rPr>
          <w:rFonts w:ascii="Consolas" w:hAnsi="Consolas"/>
          <w:b w:val="0"/>
          <w:i w:val="0"/>
          <w:color w:val="222222"/>
          <w:sz w:val="18"/>
        </w:rPr>
        <w:t>docker cp customer_churn_10k.csv cassandra-tokio:/customer_churn_10k.csv</w:t>
        <w:br/>
      </w:r>
      <w:r>
        <w:rPr>
          <w:rFonts w:ascii="Consolas" w:hAnsi="Consolas"/>
          <w:b w:val="0"/>
          <w:i w:val="0"/>
          <w:color w:val="222222"/>
          <w:sz w:val="18"/>
        </w:rPr>
        <w:t>docker exec -it cassandra-tokio cqlsh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Estructura creada — keyspace </w:t>
      </w:r>
      <w:r>
        <w:rPr>
          <w:rFonts w:ascii="Consolas" w:hAnsi="Consolas"/>
          <w:b w:val="0"/>
          <w:i w:val="0"/>
          <w:sz w:val="20"/>
        </w:rPr>
        <w:t>telecom_analytics</w:t>
      </w:r>
      <w:r>
        <w:rPr>
          <w:rFonts w:ascii="Titillium Web" w:hAnsi="Titillium Web"/>
          <w:b w:val="0"/>
          <w:i w:val="0"/>
          <w:sz w:val="22"/>
        </w:rPr>
        <w:t xml:space="preserve"> y tabla </w:t>
      </w:r>
      <w:r>
        <w:rPr>
          <w:rFonts w:ascii="Consolas" w:hAnsi="Consolas"/>
          <w:b w:val="0"/>
          <w:i w:val="0"/>
          <w:sz w:val="20"/>
        </w:rPr>
        <w:t>customer_churn</w:t>
      </w:r>
      <w:r>
        <w:rPr>
          <w:rFonts w:ascii="Titillium Web" w:hAnsi="Titillium Web"/>
          <w:b w:val="0"/>
          <w:i w:val="0"/>
          <w:sz w:val="22"/>
        </w:rPr>
        <w:t xml:space="preserve"> (con </w:t>
      </w:r>
      <w:r>
        <w:rPr>
          <w:rFonts w:ascii="Consolas" w:hAnsi="Consolas"/>
          <w:b w:val="0"/>
          <w:i w:val="0"/>
          <w:sz w:val="20"/>
        </w:rPr>
        <w:t>CustomerID</w:t>
      </w:r>
      <w:r>
        <w:rPr>
          <w:rFonts w:ascii="Titillium Web" w:hAnsi="Titillium Web"/>
          <w:b w:val="0"/>
          <w:i w:val="0"/>
          <w:sz w:val="22"/>
        </w:rPr>
        <w:t xml:space="preserve"> como clave primaria e índices secundarios sobre las columnas de filtrado):</w:t>
      </w:r>
    </w:p>
    <w:p>
      <w:pPr>
        <w:spacing w:before="80" w:after="200"/>
        <w:shd w:val="clear" w:fill="F4F4F8"/>
      </w:pPr>
      <w:r>
        <w:rPr>
          <w:rFonts w:ascii="Consolas" w:hAnsi="Consolas"/>
          <w:b w:val="0"/>
          <w:i w:val="0"/>
          <w:color w:val="222222"/>
          <w:sz w:val="18"/>
        </w:rPr>
        <w:t>CREATE KEYSPACE telecom_analytics WITH replication =</w:t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 {'class': 'SimpleStrategy', 'replication_factor': '1'} AND durable_writes = true;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>CREATE TABLE telecom_analytics.customer_churn (</w:t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   "CustomerID" double PRIMARY KEY, "Age" double, "Gender" text,</w:t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   "Tenure" double, "Usage Frequency" double, "Support Calls" double,</w:t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   "Payment Delay" double, "Subscription Type" text, "Contract Length" text,</w:t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   "Total Spend" double, "Last Interaction" double, "Churn_YesNo" text);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>CREATE INDEX idx_contract_length   ON telecom_analytics.customer_churn ("Contract Length");</w:t>
        <w:br/>
      </w:r>
      <w:r>
        <w:rPr>
          <w:rFonts w:ascii="Consolas" w:hAnsi="Consolas"/>
          <w:b w:val="0"/>
          <w:i w:val="0"/>
          <w:color w:val="222222"/>
          <w:sz w:val="18"/>
        </w:rPr>
        <w:t>CREATE INDEX idx_subscription_type ON telecom_analytics.customer_churn ("Subscription Type");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>COPY telecom_analytics.customer_churn (...) FROM '/customer_churn_10k.csv' WITH HEADER = TRUE;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3.2 Consulta a) Recuperar todos los registros de la tarifa Basic</w:t>
      </w:r>
    </w:p>
    <w:p>
      <w:pPr>
        <w:spacing w:before="80" w:after="200"/>
        <w:shd w:val="clear" w:fill="F4F4F8"/>
      </w:pPr>
      <w:r>
        <w:rPr>
          <w:rFonts w:ascii="Consolas" w:hAnsi="Consolas"/>
          <w:b w:val="0"/>
          <w:i w:val="0"/>
          <w:color w:val="222222"/>
          <w:sz w:val="18"/>
        </w:rPr>
        <w:t>SELECT * FROM telecom_analytics.customer_churn</w:t>
        <w:br/>
      </w:r>
      <w:r>
        <w:rPr>
          <w:rFonts w:ascii="Consolas" w:hAnsi="Consolas"/>
          <w:b w:val="0"/>
          <w:i w:val="0"/>
          <w:color w:val="222222"/>
          <w:sz w:val="18"/>
        </w:rPr>
        <w:t>WHERE "Subscription Type" = 'Basic' ALLOW FILTERING;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>SELECT COUNT(*) FROM telecom_analytics.customer_churn</w:t>
        <w:br/>
      </w:r>
      <w:r>
        <w:rPr>
          <w:rFonts w:ascii="Consolas" w:hAnsi="Consolas"/>
          <w:b w:val="0"/>
          <w:i w:val="0"/>
          <w:color w:val="222222"/>
          <w:sz w:val="18"/>
        </w:rPr>
        <w:t>WHERE "Subscription Type" = 'Basic' ALLOW FILTERING;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count</w:t>
        <w:br/>
      </w:r>
      <w:r>
        <w:rPr>
          <w:rFonts w:ascii="Consolas" w:hAnsi="Consolas"/>
          <w:b w:val="0"/>
          <w:i w:val="0"/>
          <w:color w:val="222222"/>
          <w:sz w:val="18"/>
        </w:rPr>
        <w:t>-------</w:t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 3233</w:t>
      </w:r>
    </w:p>
    <w:p>
      <w:pPr>
        <w:spacing w:after="160" w:line="276" w:lineRule="auto"/>
      </w:pPr>
      <w:r>
        <w:rPr>
          <w:rFonts w:ascii="Titillium Web" w:hAnsi="Titillium Web"/>
          <w:b/>
          <w:i w:val="0"/>
          <w:sz w:val="22"/>
        </w:rPr>
        <w:t xml:space="preserve">Resultado: </w:t>
      </w:r>
      <w:r>
        <w:rPr>
          <w:rFonts w:ascii="Titillium Web" w:hAnsi="Titillium Web"/>
          <w:b w:val="0"/>
          <w:i w:val="0"/>
          <w:sz w:val="22"/>
        </w:rPr>
        <w:t xml:space="preserve">existen </w:t>
      </w:r>
      <w:r>
        <w:rPr>
          <w:rFonts w:ascii="Titillium Web" w:hAnsi="Titillium Web"/>
          <w:b/>
          <w:i w:val="0"/>
          <w:color w:val="000F9F"/>
          <w:sz w:val="22"/>
        </w:rPr>
        <w:t>3.233 clientes</w:t>
      </w:r>
      <w:r>
        <w:rPr>
          <w:rFonts w:ascii="Titillium Web" w:hAnsi="Titillium Web"/>
          <w:b w:val="0"/>
          <w:i w:val="0"/>
          <w:sz w:val="22"/>
        </w:rPr>
        <w:t xml:space="preserve"> con tarifa Basic (verificado también sobre el CSV).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3.3 Consulta b) Recuperar todos los registros Basic con contrato anual</w:t>
      </w:r>
    </w:p>
    <w:p>
      <w:pPr>
        <w:spacing w:before="80" w:after="200"/>
        <w:shd w:val="clear" w:fill="F4F4F8"/>
      </w:pPr>
      <w:r>
        <w:rPr>
          <w:rFonts w:ascii="Consolas" w:hAnsi="Consolas"/>
          <w:b w:val="0"/>
          <w:i w:val="0"/>
          <w:color w:val="222222"/>
          <w:sz w:val="18"/>
        </w:rPr>
        <w:t>SELECT * FROM telecom_analytics.customer_churn</w:t>
        <w:br/>
      </w:r>
      <w:r>
        <w:rPr>
          <w:rFonts w:ascii="Consolas" w:hAnsi="Consolas"/>
          <w:b w:val="0"/>
          <w:i w:val="0"/>
          <w:color w:val="222222"/>
          <w:sz w:val="18"/>
        </w:rPr>
        <w:t>WHERE "Subscription Type" = 'Basic' AND "Contract Length" = 'Annual' ALLOW FILTERING;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>SELECT COUNT(*) FROM telecom_analytics.customer_churn</w:t>
        <w:br/>
      </w:r>
      <w:r>
        <w:rPr>
          <w:rFonts w:ascii="Consolas" w:hAnsi="Consolas"/>
          <w:b w:val="0"/>
          <w:i w:val="0"/>
          <w:color w:val="222222"/>
          <w:sz w:val="18"/>
        </w:rPr>
        <w:t>WHERE "Subscription Type" = 'Basic' AND "Contract Length" = 'Annual' ALLOW FILTERING;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count</w:t>
        <w:br/>
      </w:r>
      <w:r>
        <w:rPr>
          <w:rFonts w:ascii="Consolas" w:hAnsi="Consolas"/>
          <w:b w:val="0"/>
          <w:i w:val="0"/>
          <w:color w:val="222222"/>
          <w:sz w:val="18"/>
        </w:rPr>
        <w:t>-------</w:t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 1250</w:t>
      </w:r>
    </w:p>
    <w:p>
      <w:pPr>
        <w:spacing w:after="160" w:line="276" w:lineRule="auto"/>
      </w:pPr>
      <w:r>
        <w:rPr>
          <w:rFonts w:ascii="Titillium Web" w:hAnsi="Titillium Web"/>
          <w:b/>
          <w:i w:val="0"/>
          <w:sz w:val="22"/>
        </w:rPr>
        <w:t xml:space="preserve">Resultado: </w:t>
      </w:r>
      <w:r>
        <w:rPr>
          <w:rFonts w:ascii="Titillium Web" w:hAnsi="Titillium Web"/>
          <w:b w:val="0"/>
          <w:i w:val="0"/>
          <w:sz w:val="22"/>
        </w:rPr>
        <w:t xml:space="preserve">de los clientes Basic, </w:t>
      </w:r>
      <w:r>
        <w:rPr>
          <w:rFonts w:ascii="Titillium Web" w:hAnsi="Titillium Web"/>
          <w:b/>
          <w:i w:val="0"/>
          <w:color w:val="000F9F"/>
          <w:sz w:val="22"/>
        </w:rPr>
        <w:t>1.250</w:t>
      </w:r>
      <w:r>
        <w:rPr>
          <w:rFonts w:ascii="Titillium Web" w:hAnsi="Titillium Web"/>
          <w:b w:val="0"/>
          <w:i w:val="0"/>
          <w:sz w:val="22"/>
        </w:rPr>
        <w:t xml:space="preserve"> tienen además contrato anual (el resto: 1.337 trimestral y 646 mensual).</w:t>
      </w:r>
    </w:p>
    <w:p>
      <w:pPr>
        <w:spacing w:before="280" w:after="120"/>
        <w:pageBreakBefore/>
        <w:pBdr>
          <w:bottom w:val="single" w:sz="6" w:space="4" w:color="D5D5E5"/>
        </w:pBdr>
      </w:pPr>
      <w:r>
        <w:rPr>
          <w:rFonts w:ascii="Titillium Web" w:hAnsi="Titillium Web"/>
          <w:b/>
          <w:i w:val="0"/>
          <w:color w:val="000F9F"/>
          <w:sz w:val="28"/>
        </w:rPr>
        <w:t>4. Tarea 3 — Clientes y churn por categoría (PySpark)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>Cargados los datos en un DataFrame de PySpark, se calcula para cada tipo de tarifa y cada duración de contrato el número de clientes y el porcentaje que ha hecho churn (% de “Yes”).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4.1 Churn por tipo de tarifa (Subscription Type)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232"/>
        <w:gridCol w:w="2232"/>
        <w:gridCol w:w="2232"/>
        <w:gridCol w:w="2232"/>
      </w:tblGrid>
      <w:tr>
        <w:tc>
          <w:tcPr>
            <w:tcW w:type="dxa" w:w="288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Subscription Type</w:t>
            </w:r>
          </w:p>
        </w:tc>
        <w:tc>
          <w:tcPr>
            <w:tcW w:type="dxa" w:w="1944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Clientes</w:t>
            </w:r>
          </w:p>
        </w:tc>
        <w:tc>
          <w:tcPr>
            <w:tcW w:type="dxa" w:w="1944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Churn (Yes)</w:t>
            </w:r>
          </w:p>
        </w:tc>
        <w:tc>
          <w:tcPr>
            <w:tcW w:type="dxa" w:w="1944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% Churn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Basic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3.233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1.884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sz w:val="20"/>
              </w:rPr>
              <w:t>58,3 %</w:t>
            </w:r>
          </w:p>
        </w:tc>
      </w:tr>
      <w:tr>
        <w:tc>
          <w:tcPr>
            <w:tcW w:type="dxa" w:w="288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Standard</w:t>
            </w:r>
          </w:p>
        </w:tc>
        <w:tc>
          <w:tcPr>
            <w:tcW w:type="dxa" w:w="194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3.361</w:t>
            </w:r>
          </w:p>
        </w:tc>
        <w:tc>
          <w:tcPr>
            <w:tcW w:type="dxa" w:w="194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1.905</w:t>
            </w:r>
          </w:p>
        </w:tc>
        <w:tc>
          <w:tcPr>
            <w:tcW w:type="dxa" w:w="194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56,7 %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Premium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3.406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1.883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55,3 %</w:t>
            </w:r>
          </w:p>
        </w:tc>
      </w:tr>
    </w:tbl>
    <w:p>
      <w:pPr>
        <w:spacing w:after="40" w:line="276" w:lineRule="auto"/>
      </w:pPr>
      <w:r>
        <w:rPr>
          <w:rFonts w:ascii="Titillium Web" w:hAnsi="Titillium Web"/>
          <w:b w:val="0"/>
          <w:i w:val="0"/>
          <w:sz w:val="22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2977025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churn_subscrip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97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tillium Web" w:hAnsi="Titillium Web"/>
          <w:b w:val="0"/>
          <w:i/>
          <w:color w:val="555555"/>
          <w:sz w:val="18"/>
        </w:rPr>
        <w:t>Figura 1. Nº de clientes y % de churn por tipo de tarifa.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4.2 Churn por duración del contrato (Contract Length)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232"/>
        <w:gridCol w:w="2232"/>
        <w:gridCol w:w="2232"/>
        <w:gridCol w:w="2232"/>
      </w:tblGrid>
      <w:tr>
        <w:tc>
          <w:tcPr>
            <w:tcW w:type="dxa" w:w="288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Contract Length</w:t>
            </w:r>
          </w:p>
        </w:tc>
        <w:tc>
          <w:tcPr>
            <w:tcW w:type="dxa" w:w="1944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Clientes</w:t>
            </w:r>
          </w:p>
        </w:tc>
        <w:tc>
          <w:tcPr>
            <w:tcW w:type="dxa" w:w="1944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Churn (Yes)</w:t>
            </w:r>
          </w:p>
        </w:tc>
        <w:tc>
          <w:tcPr>
            <w:tcW w:type="dxa" w:w="1944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% Churn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Monthly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1.984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1.984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B00000"/>
                <w:sz w:val="20"/>
              </w:rPr>
              <w:t>100,0 %</w:t>
            </w:r>
          </w:p>
        </w:tc>
      </w:tr>
      <w:tr>
        <w:tc>
          <w:tcPr>
            <w:tcW w:type="dxa" w:w="288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Quarterly</w:t>
            </w:r>
          </w:p>
        </w:tc>
        <w:tc>
          <w:tcPr>
            <w:tcW w:type="dxa" w:w="194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3.970</w:t>
            </w:r>
          </w:p>
        </w:tc>
        <w:tc>
          <w:tcPr>
            <w:tcW w:type="dxa" w:w="194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1.865</w:t>
            </w:r>
          </w:p>
        </w:tc>
        <w:tc>
          <w:tcPr>
            <w:tcW w:type="dxa" w:w="194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47,0 %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Annual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4.046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1.823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45,1 %</w:t>
            </w:r>
          </w:p>
        </w:tc>
      </w:tr>
    </w:tbl>
    <w:p>
      <w:pPr>
        <w:spacing w:after="40" w:line="276" w:lineRule="auto"/>
      </w:pPr>
      <w:r>
        <w:rPr>
          <w:rFonts w:ascii="Titillium Web" w:hAnsi="Titillium Web"/>
          <w:b w:val="0"/>
          <w:i w:val="0"/>
          <w:sz w:val="22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2977025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churn_contr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97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tillium Web" w:hAnsi="Titillium Web"/>
          <w:b w:val="0"/>
          <w:i/>
          <w:color w:val="555555"/>
          <w:sz w:val="18"/>
        </w:rPr>
        <w:t>Figura 2. Nº de clientes y % de churn por duración del contrato.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4.3 Interpretación de negocio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El tipo de tarifa apenas discrimina la baja: </w:t>
      </w:r>
      <w:r>
        <w:rPr>
          <w:rFonts w:ascii="Titillium Web" w:hAnsi="Titillium Web"/>
          <w:b w:val="0"/>
          <w:i w:val="0"/>
          <w:sz w:val="22"/>
        </w:rPr>
        <w:t>las tres tarifas presentan un churn alto y similar (55–58 %). No es una palanca de retención por sí sola.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La duración del contrato sí es determinante: </w:t>
      </w:r>
      <w:r>
        <w:rPr>
          <w:rFonts w:ascii="Titillium Web" w:hAnsi="Titillium Web"/>
          <w:b w:val="0"/>
          <w:i w:val="0"/>
          <w:sz w:val="22"/>
        </w:rPr>
        <w:t xml:space="preserve">el contrato mensual concentra un </w:t>
      </w:r>
      <w:r>
        <w:rPr>
          <w:rFonts w:ascii="Titillium Web" w:hAnsi="Titillium Web"/>
          <w:b/>
          <w:i w:val="0"/>
          <w:color w:val="B00000"/>
          <w:sz w:val="22"/>
        </w:rPr>
        <w:t>100 % de bajas</w:t>
      </w:r>
      <w:r>
        <w:rPr>
          <w:rFonts w:ascii="Titillium Web" w:hAnsi="Titillium Web"/>
          <w:b w:val="0"/>
          <w:i w:val="0"/>
          <w:sz w:val="22"/>
        </w:rPr>
        <w:t>, frente al ~47 % del trimestral y ~45 % del anual. El compromiso de permanencia es el factor de retención más potente.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Recomendación: </w:t>
      </w:r>
      <w:r>
        <w:rPr>
          <w:rFonts w:ascii="Titillium Web" w:hAnsi="Titillium Web"/>
          <w:b w:val="0"/>
          <w:i w:val="0"/>
          <w:sz w:val="22"/>
        </w:rPr>
        <w:t>incentivar la migración de clientes mensuales hacia contratos trimestrales o anuales, donde la baja se reduce a menos de la mitad.</w:t>
      </w:r>
    </w:p>
    <w:p>
      <w:pPr>
        <w:spacing w:before="280" w:after="120"/>
        <w:pageBreakBefore/>
        <w:pBdr>
          <w:bottom w:val="single" w:sz="6" w:space="4" w:color="D5D5E5"/>
        </w:pBdr>
      </w:pPr>
      <w:r>
        <w:rPr>
          <w:rFonts w:ascii="Titillium Web" w:hAnsi="Titillium Web"/>
          <w:b/>
          <w:i w:val="0"/>
          <w:color w:val="000F9F"/>
          <w:sz w:val="28"/>
        </w:rPr>
        <w:t>5. Tarea 4 — Análisis descriptivo (PySpark)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Se calcula la media y la desviación estándar de cada variable numérica (se excluye </w:t>
      </w:r>
      <w:r>
        <w:rPr>
          <w:rFonts w:ascii="Consolas" w:hAnsi="Consolas"/>
          <w:b w:val="0"/>
          <w:i w:val="0"/>
          <w:sz w:val="20"/>
        </w:rPr>
        <w:t>CustomerID</w:t>
      </w:r>
      <w:r>
        <w:rPr>
          <w:rFonts w:ascii="Titillium Web" w:hAnsi="Titillium Web"/>
          <w:b w:val="0"/>
          <w:i w:val="0"/>
          <w:sz w:val="22"/>
        </w:rPr>
        <w:t xml:space="preserve"> por ser categórica). Se añaden mínimo y máximo para dimensionar el rango.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2736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1584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Media</w:t>
            </w:r>
          </w:p>
        </w:tc>
        <w:tc>
          <w:tcPr>
            <w:tcW w:type="dxa" w:w="2016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Desv. estándar</w:t>
            </w:r>
          </w:p>
        </w:tc>
        <w:tc>
          <w:tcPr>
            <w:tcW w:type="dxa" w:w="1296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Mín</w:t>
            </w:r>
          </w:p>
        </w:tc>
        <w:tc>
          <w:tcPr>
            <w:tcW w:type="dxa" w:w="1296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Máx</w:t>
            </w:r>
          </w:p>
        </w:tc>
      </w:tr>
      <w:tr>
        <w:tc>
          <w:tcPr>
            <w:tcW w:type="dxa" w:w="2736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58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39,26</w:t>
            </w:r>
          </w:p>
        </w:tc>
        <w:tc>
          <w:tcPr>
            <w:tcW w:type="dxa" w:w="201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12,49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65</w:t>
            </w:r>
          </w:p>
        </w:tc>
      </w:tr>
      <w:tr>
        <w:tc>
          <w:tcPr>
            <w:tcW w:type="dxa" w:w="2736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Tenure</w:t>
            </w:r>
          </w:p>
        </w:tc>
        <w:tc>
          <w:tcPr>
            <w:tcW w:type="dxa" w:w="158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30,95</w:t>
            </w:r>
          </w:p>
        </w:tc>
        <w:tc>
          <w:tcPr>
            <w:tcW w:type="dxa" w:w="201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17,14</w:t>
            </w:r>
          </w:p>
        </w:tc>
        <w:tc>
          <w:tcPr>
            <w:tcW w:type="dxa" w:w="129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60</w:t>
            </w:r>
          </w:p>
        </w:tc>
      </w:tr>
      <w:tr>
        <w:tc>
          <w:tcPr>
            <w:tcW w:type="dxa" w:w="2736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Usage Frequency</w:t>
            </w:r>
          </w:p>
        </w:tc>
        <w:tc>
          <w:tcPr>
            <w:tcW w:type="dxa" w:w="158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15,77</w:t>
            </w:r>
          </w:p>
        </w:tc>
        <w:tc>
          <w:tcPr>
            <w:tcW w:type="dxa" w:w="201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8,63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30</w:t>
            </w:r>
          </w:p>
        </w:tc>
      </w:tr>
      <w:tr>
        <w:tc>
          <w:tcPr>
            <w:tcW w:type="dxa" w:w="2736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Support Calls</w:t>
            </w:r>
          </w:p>
        </w:tc>
        <w:tc>
          <w:tcPr>
            <w:tcW w:type="dxa" w:w="158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3,59</w:t>
            </w:r>
          </w:p>
        </w:tc>
        <w:tc>
          <w:tcPr>
            <w:tcW w:type="dxa" w:w="201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3,08</w:t>
            </w:r>
          </w:p>
        </w:tc>
        <w:tc>
          <w:tcPr>
            <w:tcW w:type="dxa" w:w="129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2736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Payment Delay</w:t>
            </w:r>
          </w:p>
        </w:tc>
        <w:tc>
          <w:tcPr>
            <w:tcW w:type="dxa" w:w="158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13,03</w:t>
            </w:r>
          </w:p>
        </w:tc>
        <w:tc>
          <w:tcPr>
            <w:tcW w:type="dxa" w:w="201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8,26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30</w:t>
            </w:r>
          </w:p>
        </w:tc>
      </w:tr>
      <w:tr>
        <w:tc>
          <w:tcPr>
            <w:tcW w:type="dxa" w:w="2736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Total Spend</w:t>
            </w:r>
          </w:p>
        </w:tc>
        <w:tc>
          <w:tcPr>
            <w:tcW w:type="dxa" w:w="158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633,32</w:t>
            </w:r>
          </w:p>
        </w:tc>
        <w:tc>
          <w:tcPr>
            <w:tcW w:type="dxa" w:w="201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240,47</w:t>
            </w:r>
          </w:p>
        </w:tc>
        <w:tc>
          <w:tcPr>
            <w:tcW w:type="dxa" w:w="129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29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1000</w:t>
            </w:r>
          </w:p>
        </w:tc>
      </w:tr>
      <w:tr>
        <w:tc>
          <w:tcPr>
            <w:tcW w:type="dxa" w:w="2736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Last Interaction</w:t>
            </w:r>
          </w:p>
        </w:tc>
        <w:tc>
          <w:tcPr>
            <w:tcW w:type="dxa" w:w="158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14,49</w:t>
            </w:r>
          </w:p>
        </w:tc>
        <w:tc>
          <w:tcPr>
            <w:tcW w:type="dxa" w:w="201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8,62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30</w:t>
            </w:r>
          </w:p>
        </w:tc>
      </w:tr>
    </w:tbl>
    <w:p>
      <w:pPr>
        <w:spacing w:after="40" w:line="276" w:lineRule="auto"/>
      </w:pPr>
      <w:r>
        <w:rPr>
          <w:rFonts w:ascii="Titillium Web" w:hAnsi="Titillium Web"/>
          <w:b w:val="0"/>
          <w:i w:val="0"/>
          <w:sz w:val="22"/>
        </w:rPr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5.1 Interpretación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>Edad</w:t>
      </w:r>
      <w:r>
        <w:rPr>
          <w:rFonts w:ascii="Titillium Web" w:hAnsi="Titillium Web"/>
          <w:b w:val="0"/>
          <w:i w:val="0"/>
          <w:sz w:val="22"/>
        </w:rPr>
        <w:t xml:space="preserve"> media de 39 años (rango 18–65): base de clientes adulta y amplia.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>Tenure</w:t>
      </w:r>
      <w:r>
        <w:rPr>
          <w:rFonts w:ascii="Titillium Web" w:hAnsi="Titillium Web"/>
          <w:b w:val="0"/>
          <w:i w:val="0"/>
          <w:sz w:val="22"/>
        </w:rPr>
        <w:t xml:space="preserve"> media de 31 meses con desviación muy alta (±17): conviven clientes nuevos y veteranos.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>Support Calls</w:t>
      </w:r>
      <w:r>
        <w:rPr>
          <w:rFonts w:ascii="Titillium Web" w:hAnsi="Titillium Web"/>
          <w:b w:val="0"/>
          <w:i w:val="0"/>
          <w:sz w:val="22"/>
        </w:rPr>
        <w:t xml:space="preserve"> (media 3,6) y </w:t>
      </w:r>
      <w:r>
        <w:rPr>
          <w:rFonts w:ascii="Titillium Web" w:hAnsi="Titillium Web"/>
          <w:b/>
          <w:i w:val="0"/>
          <w:sz w:val="22"/>
        </w:rPr>
        <w:t>Payment Delay</w:t>
      </w:r>
      <w:r>
        <w:rPr>
          <w:rFonts w:ascii="Titillium Web" w:hAnsi="Titillium Web"/>
          <w:b w:val="0"/>
          <w:i w:val="0"/>
          <w:sz w:val="22"/>
        </w:rPr>
        <w:t xml:space="preserve"> (media 13 días) son variables de fricción con recorrido: señales tempranas de insatisfacción.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>Total Spend</w:t>
      </w:r>
      <w:r>
        <w:rPr>
          <w:rFonts w:ascii="Titillium Web" w:hAnsi="Titillium Web"/>
          <w:b w:val="0"/>
          <w:i w:val="0"/>
          <w:sz w:val="22"/>
        </w:rPr>
        <w:t xml:space="preserve"> medio de 633 € (±240): gran heterogeneidad de valor entre clientes, que justifica una segmentación.</w:t>
      </w:r>
    </w:p>
    <w:p>
      <w:pPr>
        <w:spacing w:before="280" w:after="120"/>
        <w:pageBreakBefore/>
        <w:pBdr>
          <w:bottom w:val="single" w:sz="6" w:space="4" w:color="D5D5E5"/>
        </w:pBdr>
      </w:pPr>
      <w:r>
        <w:rPr>
          <w:rFonts w:ascii="Titillium Web" w:hAnsi="Titillium Web"/>
          <w:b/>
          <w:i w:val="0"/>
          <w:color w:val="000F9F"/>
          <w:sz w:val="28"/>
        </w:rPr>
        <w:t>6. Tarea 5 — Análisis de correlación (PySpark)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>Para obtener la matriz de correlación fue necesario configurar las columnas con el tipo adecuado (</w:t>
      </w:r>
      <w:r>
        <w:rPr>
          <w:rFonts w:ascii="Consolas" w:hAnsi="Consolas"/>
          <w:b w:val="0"/>
          <w:i w:val="0"/>
          <w:sz w:val="20"/>
        </w:rPr>
        <w:t>cast</w:t>
      </w:r>
      <w:r>
        <w:rPr>
          <w:rFonts w:ascii="Titillium Web" w:hAnsi="Titillium Web"/>
          <w:b w:val="0"/>
          <w:i w:val="0"/>
          <w:sz w:val="22"/>
        </w:rPr>
        <w:t xml:space="preserve"> a </w:t>
      </w:r>
      <w:r>
        <w:rPr>
          <w:rFonts w:ascii="Consolas" w:hAnsi="Consolas"/>
          <w:b w:val="0"/>
          <w:i w:val="0"/>
          <w:sz w:val="20"/>
        </w:rPr>
        <w:t>double</w:t>
      </w:r>
      <w:r>
        <w:rPr>
          <w:rFonts w:ascii="Titillium Web" w:hAnsi="Titillium Web"/>
          <w:b w:val="0"/>
          <w:i w:val="0"/>
          <w:sz w:val="22"/>
        </w:rPr>
        <w:t xml:space="preserve">) y ensamblar las variables numéricas en un único vector con </w:t>
      </w:r>
      <w:r>
        <w:rPr>
          <w:rFonts w:ascii="Consolas" w:hAnsi="Consolas"/>
          <w:b w:val="0"/>
          <w:i w:val="0"/>
          <w:sz w:val="20"/>
        </w:rPr>
        <w:t>VectorAssembler</w:t>
      </w:r>
      <w:r>
        <w:rPr>
          <w:rFonts w:ascii="Titillium Web" w:hAnsi="Titillium Web"/>
          <w:b w:val="0"/>
          <w:i w:val="0"/>
          <w:sz w:val="22"/>
        </w:rPr>
        <w:t xml:space="preserve">, requisito de </w:t>
      </w:r>
      <w:r>
        <w:rPr>
          <w:rFonts w:ascii="Consolas" w:hAnsi="Consolas"/>
          <w:b w:val="0"/>
          <w:i w:val="0"/>
          <w:sz w:val="20"/>
        </w:rPr>
        <w:t>Correlation.corr</w:t>
      </w:r>
      <w:r>
        <w:rPr>
          <w:rFonts w:ascii="Titillium Web" w:hAnsi="Titillium Web"/>
          <w:b w:val="0"/>
          <w:i w:val="0"/>
          <w:sz w:val="22"/>
        </w:rPr>
        <w:t xml:space="preserve"> (coeficiente de Pearson).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3477158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_matriz_correl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77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tillium Web" w:hAnsi="Titillium Web"/>
          <w:b w:val="0"/>
          <w:i/>
          <w:color w:val="555555"/>
          <w:sz w:val="18"/>
        </w:rPr>
        <w:t>Figura 3. Matriz de correlación de Pearson entre variables numéricas.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6.1 Correlación de cada variable con la baja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Añadiendo una columna </w:t>
      </w:r>
      <w:r>
        <w:rPr>
          <w:rFonts w:ascii="Consolas" w:hAnsi="Consolas"/>
          <w:b w:val="0"/>
          <w:i w:val="0"/>
          <w:sz w:val="20"/>
        </w:rPr>
        <w:t>churn01</w:t>
      </w:r>
      <w:r>
        <w:rPr>
          <w:rFonts w:ascii="Titillium Web" w:hAnsi="Titillium Web"/>
          <w:b w:val="0"/>
          <w:i w:val="0"/>
          <w:sz w:val="22"/>
        </w:rPr>
        <w:t xml:space="preserve"> (Yes = 1) medimos su correlación con cada variable: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465"/>
        <w:gridCol w:w="4465"/>
      </w:tblGrid>
      <w:tr>
        <w:tc>
          <w:tcPr>
            <w:tcW w:type="dxa" w:w="432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432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Correlación con churn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Support Calls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B00000"/>
                <w:sz w:val="20"/>
              </w:rPr>
              <w:t>+0,58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Payment Delay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B00000"/>
                <w:sz w:val="20"/>
              </w:rPr>
              <w:t>+0,32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+0,23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Last Interaction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+0,15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Tenure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−0,05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Usage Frequency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−0,07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Total Spend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000F9F"/>
                <w:sz w:val="20"/>
              </w:rPr>
              <w:t>−0,42</w:t>
            </w:r>
          </w:p>
        </w:tc>
      </w:tr>
    </w:tbl>
    <w:p>
      <w:pPr>
        <w:spacing w:after="40" w:line="276" w:lineRule="auto"/>
      </w:pPr>
      <w:r>
        <w:rPr>
          <w:rFonts w:ascii="Titillium Web" w:hAnsi="Titillium Web"/>
          <w:b w:val="0"/>
          <w:i w:val="0"/>
          <w:sz w:val="22"/>
        </w:rPr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6.2 Interpretación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Baja multicolinealidad: </w:t>
      </w:r>
      <w:r>
        <w:rPr>
          <w:rFonts w:ascii="Titillium Web" w:hAnsi="Titillium Web"/>
          <w:b w:val="0"/>
          <w:i w:val="0"/>
          <w:sz w:val="22"/>
        </w:rPr>
        <w:t>entre variables numéricas las correlaciones son muy débiles (|r| &lt; 0,25), lo que es positivo: cada variable aporta información propia a un modelo.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Principales impulsores de la baja: </w:t>
      </w:r>
      <w:r>
        <w:rPr>
          <w:rFonts w:ascii="Titillium Web" w:hAnsi="Titillium Web"/>
          <w:b w:val="0"/>
          <w:i w:val="0"/>
          <w:sz w:val="22"/>
        </w:rPr>
        <w:t>Support Calls (+0,58), Payment Delay (+0,32) y Age (+0,23).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Principal factor de retención: </w:t>
      </w:r>
      <w:r>
        <w:rPr>
          <w:rFonts w:ascii="Titillium Web" w:hAnsi="Titillium Web"/>
          <w:b w:val="0"/>
          <w:i w:val="0"/>
          <w:sz w:val="22"/>
        </w:rPr>
        <w:t>Total Spend (−0,42): a mayor gasto, menor baja.</w:t>
      </w:r>
    </w:p>
    <w:p>
      <w:pPr>
        <w:spacing w:before="280" w:after="120"/>
        <w:pageBreakBefore/>
        <w:pBdr>
          <w:bottom w:val="single" w:sz="6" w:space="4" w:color="D5D5E5"/>
        </w:pBdr>
      </w:pPr>
      <w:r>
        <w:rPr>
          <w:rFonts w:ascii="Titillium Web" w:hAnsi="Titillium Web"/>
          <w:b/>
          <w:i w:val="0"/>
          <w:color w:val="000F9F"/>
          <w:sz w:val="28"/>
        </w:rPr>
        <w:t>7. Tarea 6 — Modelo de aprendizaje supervisado (PySpark)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7.1 Problema de negocio y elección del algoritmo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El problema —anticipar qué clientes se darán de baja— es de </w:t>
      </w:r>
      <w:r>
        <w:rPr>
          <w:rFonts w:ascii="Titillium Web" w:hAnsi="Titillium Web"/>
          <w:b/>
          <w:i w:val="0"/>
          <w:sz w:val="22"/>
        </w:rPr>
        <w:t>clasificación binaria supervisada</w:t>
      </w:r>
      <w:r>
        <w:rPr>
          <w:rFonts w:ascii="Titillium Web" w:hAnsi="Titillium Web"/>
          <w:b w:val="0"/>
          <w:i w:val="0"/>
          <w:sz w:val="22"/>
        </w:rPr>
        <w:t>, porque disponemos de la etiqueta real (</w:t>
      </w:r>
      <w:r>
        <w:rPr>
          <w:rFonts w:ascii="Consolas" w:hAnsi="Consolas"/>
          <w:b w:val="0"/>
          <w:i w:val="0"/>
          <w:sz w:val="20"/>
        </w:rPr>
        <w:t>Churn_YesNo</w:t>
      </w:r>
      <w:r>
        <w:rPr>
          <w:rFonts w:ascii="Titillium Web" w:hAnsi="Titillium Web"/>
          <w:b w:val="0"/>
          <w:i w:val="0"/>
          <w:sz w:val="22"/>
        </w:rPr>
        <w:t>). Predecir la baja antes de que ocurra permite activar campañas de retención sobre los clientes en riesgo: es más barato retener que captar.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>Se comparan dos modelos basados en árboles —un Árbol de Decisión, interpretable y que produce reglas directas, y un Random Forest, ensemble que reduce la varianza y mejora la capacidad predictiva— junto con una Regresión Logística como baseline lineal. Los tres se ajustan mediante Grid Search con validación cruzada de 5 particiones (CrossValidator de Spark ML), optimizando el AUC en lugar de la accuracy: en un problema de baja el coste es asimétrico (perder un cliente es más caro que un incentivo) e interesa ordenar a los clientes por riesgo, algo que la accuracy —atada a un umbral fijo— no captura.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7.2 Preparación de los datos (procesado de categóricas)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Las variables categóricas </w:t>
      </w:r>
      <w:r>
        <w:rPr>
          <w:rFonts w:ascii="Consolas" w:hAnsi="Consolas"/>
          <w:b w:val="0"/>
          <w:i w:val="0"/>
          <w:sz w:val="20"/>
        </w:rPr>
        <w:t>Gender</w:t>
      </w:r>
      <w:r>
        <w:rPr>
          <w:rFonts w:ascii="Titillium Web" w:hAnsi="Titillium Web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Subscription Type</w:t>
      </w:r>
      <w:r>
        <w:rPr>
          <w:rFonts w:ascii="Titillium Web" w:hAnsi="Titillium Web"/>
          <w:b w:val="0"/>
          <w:i w:val="0"/>
          <w:sz w:val="22"/>
        </w:rPr>
        <w:t xml:space="preserve"> y </w:t>
      </w:r>
      <w:r>
        <w:rPr>
          <w:rFonts w:ascii="Consolas" w:hAnsi="Consolas"/>
          <w:b w:val="0"/>
          <w:i w:val="0"/>
          <w:sz w:val="20"/>
        </w:rPr>
        <w:t>Contract Length</w:t>
      </w:r>
      <w:r>
        <w:rPr>
          <w:rFonts w:ascii="Titillium Web" w:hAnsi="Titillium Web"/>
          <w:b w:val="0"/>
          <w:i w:val="0"/>
          <w:sz w:val="22"/>
        </w:rPr>
        <w:t xml:space="preserve"> se transforman con </w:t>
      </w:r>
      <w:r>
        <w:rPr>
          <w:rFonts w:ascii="Consolas" w:hAnsi="Consolas"/>
          <w:b w:val="0"/>
          <w:i w:val="0"/>
          <w:sz w:val="20"/>
        </w:rPr>
        <w:t>StringIndexer</w:t>
      </w:r>
      <w:r>
        <w:rPr>
          <w:rFonts w:ascii="Titillium Web" w:hAnsi="Titillium Web"/>
          <w:b w:val="0"/>
          <w:i w:val="0"/>
          <w:sz w:val="22"/>
        </w:rPr>
        <w:t xml:space="preserve"> y </w:t>
      </w:r>
      <w:r>
        <w:rPr>
          <w:rFonts w:ascii="Consolas" w:hAnsi="Consolas"/>
          <w:b w:val="0"/>
          <w:i w:val="0"/>
          <w:sz w:val="20"/>
        </w:rPr>
        <w:t>OneHotEncoder</w:t>
      </w:r>
      <w:r>
        <w:rPr>
          <w:rFonts w:ascii="Titillium Web" w:hAnsi="Titillium Web"/>
          <w:b w:val="0"/>
          <w:i w:val="0"/>
          <w:sz w:val="22"/>
        </w:rPr>
        <w:t xml:space="preserve">. Se unen con las numéricas mediante </w:t>
      </w:r>
      <w:r>
        <w:rPr>
          <w:rFonts w:ascii="Consolas" w:hAnsi="Consolas"/>
          <w:b w:val="0"/>
          <w:i w:val="0"/>
          <w:sz w:val="20"/>
        </w:rPr>
        <w:t>VectorAssembler</w:t>
      </w:r>
      <w:r>
        <w:rPr>
          <w:rFonts w:ascii="Titillium Web" w:hAnsi="Titillium Web"/>
          <w:b w:val="0"/>
          <w:i w:val="0"/>
          <w:sz w:val="22"/>
        </w:rPr>
        <w:t xml:space="preserve"> (más </w:t>
      </w:r>
      <w:r>
        <w:rPr>
          <w:rFonts w:ascii="Consolas" w:hAnsi="Consolas"/>
          <w:b w:val="0"/>
          <w:i w:val="0"/>
          <w:sz w:val="20"/>
        </w:rPr>
        <w:t>StandardScaler</w:t>
      </w:r>
      <w:r>
        <w:rPr>
          <w:rFonts w:ascii="Titillium Web" w:hAnsi="Titillium Web"/>
          <w:b w:val="0"/>
          <w:i w:val="0"/>
          <w:sz w:val="22"/>
        </w:rPr>
        <w:t xml:space="preserve"> para la Regresión Logística) dentro de un </w:t>
      </w:r>
      <w:r>
        <w:rPr>
          <w:rFonts w:ascii="Consolas" w:hAnsi="Consolas"/>
          <w:b w:val="0"/>
          <w:i w:val="0"/>
          <w:sz w:val="20"/>
        </w:rPr>
        <w:t>Pipeline</w:t>
      </w:r>
      <w:r>
        <w:rPr>
          <w:rFonts w:ascii="Titillium Web" w:hAnsi="Titillium Web"/>
          <w:b w:val="0"/>
          <w:i w:val="0"/>
          <w:sz w:val="22"/>
        </w:rPr>
        <w:t xml:space="preserve">. Partición </w:t>
      </w:r>
      <w:r>
        <w:rPr>
          <w:rFonts w:ascii="Titillium Web" w:hAnsi="Titillium Web"/>
          <w:b/>
          <w:i w:val="0"/>
          <w:sz w:val="22"/>
        </w:rPr>
        <w:t>70 % entrenamiento / 30 % test</w:t>
      </w:r>
      <w:r>
        <w:rPr>
          <w:rFonts w:ascii="Titillium Web" w:hAnsi="Titillium Web"/>
          <w:b w:val="0"/>
          <w:i w:val="0"/>
          <w:sz w:val="22"/>
        </w:rPr>
        <w:t xml:space="preserve"> (semilla 42).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7.3 Resultados y comparación de modelos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BDA"/>
          <w:left w:val="single" w:sz="4" w:color="C7CBDA"/>
          <w:bottom w:val="single" w:sz="4" w:color="C7CBDA"/>
          <w:right w:val="single" w:sz="4" w:color="C7CBDA"/>
          <w:insideH w:val="single" w:sz="4" w:color="C7CBDA"/>
          <w:insideV w:val="single" w:sz="4" w:color="C7CBDA"/>
        </w:tblBorders>
      </w:tblPr>
      <w:tblGrid>
        <w:gridCol w:w="1488"/>
        <w:gridCol w:w="1488"/>
        <w:gridCol w:w="1488"/>
        <w:gridCol w:w="1488"/>
        <w:gridCol w:w="1488"/>
        <w:gridCol w:w="1488"/>
      </w:tblGrid>
      <w:tr>
        <w:tc>
          <w:tcPr>
            <w:tcW w:type="dxa" w:w="2736"/>
            <w:shd w:val="clear" w:fill="000F9F"/>
          </w:tcPr>
          <w:p>
            <w:pPr>
              <w:jc w:val="center"/>
            </w:pPr>
            <w:r/>
            <w:r>
              <w:rPr>
                <w:rFonts w:ascii="Titillium Web" w:hAnsi="Titillium Web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224"/>
            <w:shd w:val="clear" w:fill="000F9F"/>
          </w:tcPr>
          <w:p>
            <w:pPr>
              <w:jc w:val="center"/>
            </w:pPr>
            <w:r/>
            <w:r>
              <w:rPr>
                <w:rFonts w:ascii="Titillium Web" w:hAnsi="Titillium Web"/>
                <w:b/>
                <w:color w:val="FFFFFF"/>
                <w:sz w:val="20"/>
              </w:rPr>
              <w:t>AUC (CV)</w:t>
            </w:r>
          </w:p>
        </w:tc>
        <w:tc>
          <w:tcPr>
            <w:tcW w:type="dxa" w:w="1224"/>
            <w:shd w:val="clear" w:fill="000F9F"/>
          </w:tcPr>
          <w:p>
            <w:pPr>
              <w:jc w:val="center"/>
            </w:pPr>
            <w:r/>
            <w:r>
              <w:rPr>
                <w:rFonts w:ascii="Titillium Web" w:hAnsi="Titillium Web"/>
                <w:b/>
                <w:color w:val="FFFFFF"/>
                <w:sz w:val="20"/>
              </w:rPr>
              <w:t>AUC train</w:t>
            </w:r>
          </w:p>
        </w:tc>
        <w:tc>
          <w:tcPr>
            <w:tcW w:type="dxa" w:w="1224"/>
            <w:shd w:val="clear" w:fill="000F9F"/>
          </w:tcPr>
          <w:p>
            <w:pPr>
              <w:jc w:val="center"/>
            </w:pPr>
            <w:r/>
            <w:r>
              <w:rPr>
                <w:rFonts w:ascii="Titillium Web" w:hAnsi="Titillium Web"/>
                <w:b/>
                <w:color w:val="FFFFFF"/>
                <w:sz w:val="20"/>
              </w:rPr>
              <w:t>AUC test</w:t>
            </w:r>
          </w:p>
        </w:tc>
        <w:tc>
          <w:tcPr>
            <w:tcW w:type="dxa" w:w="1656"/>
            <w:shd w:val="clear" w:fill="000F9F"/>
          </w:tcPr>
          <w:p>
            <w:pPr>
              <w:jc w:val="center"/>
            </w:pPr>
            <w:r/>
            <w:r>
              <w:rPr>
                <w:rFonts w:ascii="Titillium Web" w:hAnsi="Titillium Web"/>
                <w:b/>
                <w:color w:val="FFFFFF"/>
                <w:sz w:val="20"/>
              </w:rPr>
              <w:t>Recall baja (test)</w:t>
            </w:r>
          </w:p>
        </w:tc>
        <w:tc>
          <w:tcPr>
            <w:tcW w:type="dxa" w:w="1008"/>
            <w:shd w:val="clear" w:fill="000F9F"/>
          </w:tcPr>
          <w:p>
            <w:pPr>
              <w:jc w:val="center"/>
            </w:pPr>
            <w:r/>
            <w:r>
              <w:rPr>
                <w:rFonts w:ascii="Titillium Web" w:hAnsi="Titillium Web"/>
                <w:b/>
                <w:color w:val="FFFFFF"/>
                <w:sz w:val="20"/>
              </w:rPr>
              <w:t>F1 (test)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tillium Web" w:hAnsi="Titillium Web"/>
                <w:b w:val="0"/>
                <w:sz w:val="20"/>
              </w:rPr>
              <w:t>Árbol de Decisión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tillium Web" w:hAnsi="Titillium Web"/>
                <w:b w:val="0"/>
                <w:sz w:val="20"/>
              </w:rPr>
              <w:t>0,9943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tillium Web" w:hAnsi="Titillium Web"/>
                <w:b w:val="0"/>
                <w:sz w:val="20"/>
              </w:rPr>
              <w:t>0,9996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tillium Web" w:hAnsi="Titillium Web"/>
                <w:b/>
                <w:sz w:val="20"/>
              </w:rPr>
              <w:t>0,9982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Titillium Web" w:hAnsi="Titillium Web"/>
                <w:b w:val="0"/>
                <w:sz w:val="20"/>
              </w:rPr>
              <w:t>0,997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Titillium Web" w:hAnsi="Titillium Web"/>
                <w:b w:val="0"/>
                <w:sz w:val="20"/>
              </w:rPr>
              <w:t>0,995</w:t>
            </w:r>
          </w:p>
        </w:tc>
      </w:tr>
      <w:tr>
        <w:tc>
          <w:tcPr>
            <w:tcW w:type="dxa" w:w="2736"/>
            <w:shd w:val="clear" w:fill="EEF0F7"/>
          </w:tcPr>
          <w:p>
            <w:pPr>
              <w:jc w:val="left"/>
            </w:pPr>
            <w:r/>
            <w:r>
              <w:rPr>
                <w:rFonts w:ascii="Titillium Web" w:hAnsi="Titillium Web"/>
                <w:b w:val="0"/>
                <w:sz w:val="20"/>
              </w:rPr>
              <w:t>Random Forest</w:t>
            </w:r>
          </w:p>
        </w:tc>
        <w:tc>
          <w:tcPr>
            <w:tcW w:type="dxa" w:w="1224"/>
            <w:shd w:val="clear" w:fill="EEF0F7"/>
          </w:tcPr>
          <w:p>
            <w:pPr>
              <w:jc w:val="center"/>
            </w:pPr>
            <w:r/>
            <w:r>
              <w:rPr>
                <w:rFonts w:ascii="Titillium Web" w:hAnsi="Titillium Web"/>
                <w:b w:val="0"/>
                <w:sz w:val="20"/>
              </w:rPr>
              <w:t>0,9994</w:t>
            </w:r>
          </w:p>
        </w:tc>
        <w:tc>
          <w:tcPr>
            <w:tcW w:type="dxa" w:w="1224"/>
            <w:shd w:val="clear" w:fill="EEF0F7"/>
          </w:tcPr>
          <w:p>
            <w:pPr>
              <w:jc w:val="center"/>
            </w:pPr>
            <w:r/>
            <w:r>
              <w:rPr>
                <w:rFonts w:ascii="Titillium Web" w:hAnsi="Titillium Web"/>
                <w:b w:val="0"/>
                <w:sz w:val="20"/>
              </w:rPr>
              <w:t>1,0000</w:t>
            </w:r>
          </w:p>
        </w:tc>
        <w:tc>
          <w:tcPr>
            <w:tcW w:type="dxa" w:w="1224"/>
            <w:shd w:val="clear" w:fill="EEF0F7"/>
          </w:tcPr>
          <w:p>
            <w:pPr>
              <w:jc w:val="center"/>
            </w:pPr>
            <w:r/>
            <w:r>
              <w:rPr>
                <w:rFonts w:ascii="Titillium Web" w:hAnsi="Titillium Web"/>
                <w:b/>
                <w:sz w:val="20"/>
              </w:rPr>
              <w:t>0,9997</w:t>
            </w:r>
          </w:p>
        </w:tc>
        <w:tc>
          <w:tcPr>
            <w:tcW w:type="dxa" w:w="1656"/>
            <w:shd w:val="clear" w:fill="EEF0F7"/>
          </w:tcPr>
          <w:p>
            <w:pPr>
              <w:jc w:val="center"/>
            </w:pPr>
            <w:r/>
            <w:r>
              <w:rPr>
                <w:rFonts w:ascii="Titillium Web" w:hAnsi="Titillium Web"/>
                <w:b w:val="0"/>
                <w:sz w:val="20"/>
              </w:rPr>
              <w:t>0,990</w:t>
            </w:r>
          </w:p>
        </w:tc>
        <w:tc>
          <w:tcPr>
            <w:tcW w:type="dxa" w:w="1008"/>
            <w:shd w:val="clear" w:fill="EEF0F7"/>
          </w:tcPr>
          <w:p>
            <w:pPr>
              <w:jc w:val="center"/>
            </w:pPr>
            <w:r/>
            <w:r>
              <w:rPr>
                <w:rFonts w:ascii="Titillium Web" w:hAnsi="Titillium Web"/>
                <w:b w:val="0"/>
                <w:sz w:val="20"/>
              </w:rPr>
              <w:t>0,992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tillium Web" w:hAnsi="Titillium Web"/>
                <w:b w:val="0"/>
                <w:sz w:val="20"/>
              </w:rPr>
              <w:t>Regresión Logística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tillium Web" w:hAnsi="Titillium Web"/>
                <w:b w:val="0"/>
                <w:sz w:val="20"/>
              </w:rPr>
              <w:t>0,9599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tillium Web" w:hAnsi="Titillium Web"/>
                <w:b w:val="0"/>
                <w:sz w:val="20"/>
              </w:rPr>
              <w:t>0,9602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Titillium Web" w:hAnsi="Titillium Web"/>
                <w:b/>
                <w:sz w:val="20"/>
              </w:rPr>
              <w:t>0,9583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Titillium Web" w:hAnsi="Titillium Web"/>
                <w:b w:val="0"/>
                <w:sz w:val="20"/>
              </w:rPr>
              <w:t>0,896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Titillium Web" w:hAnsi="Titillium Web"/>
                <w:b w:val="0"/>
                <w:sz w:val="20"/>
              </w:rPr>
              <w:t>0,895</w:t>
            </w:r>
          </w:p>
        </w:tc>
      </w:tr>
    </w:tbl>
    <w:p>
      <w:pPr>
        <w:spacing w:after="40" w:line="276" w:lineRule="auto"/>
      </w:pPr>
      <w:r>
        <w:rPr>
          <w:rFonts w:ascii="Titillium Web" w:hAnsi="Titillium Web"/>
          <w:b w:val="0"/>
          <w:i w:val="0"/>
          <w:sz w:val="22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32678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_roc_train_te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3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tillium Web" w:hAnsi="Titillium Web"/>
          <w:b w:val="0"/>
          <w:i/>
          <w:color w:val="555555"/>
          <w:sz w:val="18"/>
        </w:rPr>
        <w:t>Figura 4. Curvas ROC en train y en test para cada modelo.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90472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_matrices_confusion_v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0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tillium Web" w:hAnsi="Titillium Web"/>
          <w:b w:val="0"/>
          <w:i/>
          <w:color w:val="555555"/>
          <w:sz w:val="18"/>
        </w:rPr>
        <w:t>Figura 5. Matrices de confusión sobre el conjunto de test (modelos afinados).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>El Random Forest, afinado con Grid Search + validación cruzada, es el mejor modelo: AUC de 1,0000 en train y 0,9997 en test; el Árbol de Decisión queda muy cerca (0,9996 / 0,9982) y la Regresión Logística por detrás (0,9602 / 0,9583). Que el AUC en train ≈ test descarta el sobreajuste. En test, el Random Forest solo comete 7 falsos positivos y 16 falsos negativos sobre 2.896 clientes, frente a los 171 falsos negativos de la Regresión Logística: por eso la accuracy no es la métrica adecuada y se reporta el AUC junto al recall de la clase baja. El AUC cercano a 1 no es un artefacto, sino reflejo de que el conjunto (sintético) contiene patrones casi deterministas —por ejemplo, el contrato mensual conlleva un 100 % de baja—.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7.4 Importancia de variables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23393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_importancia_variables_v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2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tillium Web" w:hAnsi="Titillium Web"/>
          <w:b w:val="0"/>
          <w:i/>
          <w:color w:val="555555"/>
          <w:sz w:val="18"/>
        </w:rPr>
        <w:t>Figura 6. Importancia relativa de variables (Random Forest afinado).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>El modelo confirma lo visto en la correlación: las variables que más pesan son Support Calls (0,31), Total Spend (0,22), Age (0,13) y Payment Delay (0,12). Las conductuales dominan sobre las contractuales.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7.5 Conclusiones del modelo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 w:val="0"/>
          <w:i w:val="0"/>
          <w:sz w:val="22"/>
        </w:rPr>
        <w:t>Se dispone de un modelo (Random Forest) con capacidad predictiva muy alta, listo como sistema de alerta temprana de churn.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Perfil de cliente en riesgo: </w:t>
      </w:r>
      <w:r>
        <w:rPr>
          <w:rFonts w:ascii="Titillium Web" w:hAnsi="Titillium Web"/>
          <w:b w:val="0"/>
          <w:i w:val="0"/>
          <w:sz w:val="22"/>
        </w:rPr>
        <w:t>muchas llamadas a soporte, retrasos de pago y bajo gasto acumulado.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Acción: </w:t>
      </w:r>
      <w:r>
        <w:rPr>
          <w:rFonts w:ascii="Titillium Web" w:hAnsi="Titillium Web"/>
          <w:b w:val="0"/>
          <w:i w:val="0"/>
          <w:sz w:val="22"/>
        </w:rPr>
        <w:t>priorizar la retención sobre los clientes con alta probabilidad de baja, en especial los de contrato mensual.</w:t>
      </w:r>
    </w:p>
    <w:p>
      <w:r>
        <w:rPr>
          <w:rFonts w:ascii="Titillium Web" w:hAnsi="Titillium Web"/>
          <w:b/>
          <w:color w:val="000F9F"/>
          <w:sz w:val="28"/>
        </w:rPr>
        <w:t>8. Próximos pasos y trabajo futuro</w:t>
      </w:r>
    </w:p>
    <w:p>
      <w:r>
        <w:rPr>
          <w:rFonts w:ascii="Titillium Web" w:hAnsi="Titillium Web"/>
          <w:b w:val="0"/>
          <w:sz w:val="22"/>
        </w:rPr>
        <w:t>El proyecto deja varias líneas de continuación para llevar el modelo de un entorno de laboratorio a producción:</w:t>
      </w:r>
    </w:p>
    <w:p>
      <w:r>
        <w:rPr>
          <w:rFonts w:ascii="Titillium Web" w:hAnsi="Titillium Web"/>
          <w:b w:val="0"/>
          <w:sz w:val="22"/>
        </w:rPr>
        <w:t>•  Validación temporal (out-of-time): entrenar con un periodo y validar con el siguiente, más exigente que el reparto aleatorio y más fiel al comportamiento en despliegue.</w:t>
      </w:r>
    </w:p>
    <w:p>
      <w:r>
        <w:rPr>
          <w:rFonts w:ascii="Titillium Web" w:hAnsi="Titillium Web"/>
          <w:b w:val="0"/>
          <w:sz w:val="22"/>
        </w:rPr>
        <w:t>•  Recalibración de probabilidades y elección del umbral por coste, a partir de una matriz de coste real (valor del cliente frente a coste del incentivo), en lugar del umbral 0,5.</w:t>
      </w:r>
    </w:p>
    <w:p>
      <w:r>
        <w:rPr>
          <w:rFonts w:ascii="Titillium Web" w:hAnsi="Titillium Web"/>
          <w:b w:val="0"/>
          <w:sz w:val="22"/>
        </w:rPr>
        <w:t>•  Probar modelos de boosting (Gradient-Boosted Trees de Spark, XGBoost) y compararlos con los actuales.</w:t>
      </w:r>
    </w:p>
    <w:p>
      <w:r>
        <w:rPr>
          <w:rFonts w:ascii="Titillium Web" w:hAnsi="Titillium Web"/>
          <w:b w:val="0"/>
          <w:sz w:val="22"/>
        </w:rPr>
        <w:t>•  Explicabilidad con valores SHAP para justificar cada predicción ante el equipo de retención.</w:t>
      </w:r>
    </w:p>
    <w:p>
      <w:r>
        <w:rPr>
          <w:rFonts w:ascii="Titillium Web" w:hAnsi="Titillium Web"/>
          <w:b w:val="0"/>
          <w:sz w:val="22"/>
        </w:rPr>
        <w:t>•  Ingeniería de variables: ratios (gasto por antigüedad), tendencias de uso e incidencias por mes.</w:t>
      </w:r>
    </w:p>
    <w:p>
      <w:r>
        <w:rPr>
          <w:rFonts w:ascii="Titillium Web" w:hAnsi="Titillium Web"/>
          <w:b w:val="0"/>
          <w:sz w:val="22"/>
        </w:rPr>
        <w:t>•  Industrialización: pipeline Spark reentrenable y programado, scoring por lotes exportado al CRM y monitorización de data drift.</w:t>
      </w:r>
    </w:p>
    <w:p>
      <w:r>
        <w:rPr>
          <w:rFonts w:ascii="Titillium Web" w:hAnsi="Titillium Web"/>
          <w:b w:val="0"/>
          <w:sz w:val="22"/>
        </w:rPr>
        <w:t>•  Validación de negocio (A/B): medir si la campaña de retención sobre el top-N de riesgo reduce realmente la tasa de baja.</w:t>
      </w:r>
    </w:p>
    <w:p w:rsidR="00B82A65" w:rsidRDefault="00B82A65" w:rsidP="00EB4E44">
      <w:pPr>
        <w:pStyle w:val="Tokio"/>
        <w:jc w:val="both"/>
        <w:rPr>
          <w:b/>
          <w:color w:val="000F9F"/>
          <w:u w:val="single"/>
        </w:rPr>
      </w:pPr>
      <w:r w:rsidRPr="006D5B6D">
        <w:rPr>
          <w:b/>
          <w:color w:val="000F9F"/>
          <w:u w:val="single"/>
        </w:rPr>
        <w:t>CONCLUSIONES</w:t>
      </w:r>
    </w:p>
    <w:p>
      <w:pPr>
        <w:spacing w:after="120" w:line="276" w:lineRule="auto"/>
      </w:pPr>
      <w:r>
        <w:rPr>
          <w:rFonts w:ascii="Titillium Web" w:hAnsi="Titillium Web"/>
          <w:b w:val="0"/>
          <w:i w:val="0"/>
          <w:sz w:val="22"/>
        </w:rPr>
        <w:t>El proyecto ha recorrido el ciclo completo de un análisis de Big Data sobre la base de clientes de Tokio Telecom: desde el almacenamiento de los datos (Cassandra sobre Docker) hasta la explotación analítica y predictiva (PySpark). Las conclusiones principales son:</w:t>
      </w:r>
    </w:p>
    <w:p>
      <w:pPr>
        <w:spacing w:after="120" w:line="276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 w:val="0"/>
          <w:i w:val="0"/>
          <w:sz w:val="22"/>
        </w:rPr>
        <w:t>La compañía tiene un churn global elevado (56,7 %), lo que hace de la retención una prioridad estratégica.</w:t>
      </w:r>
    </w:p>
    <w:p>
      <w:pPr>
        <w:spacing w:after="120" w:line="276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 w:val="0"/>
          <w:i w:val="0"/>
          <w:sz w:val="22"/>
        </w:rPr>
        <w:t>El contrato mensual es el mayor factor de riesgo (100 % de baja); la permanencia trimestral/anual lo reduce a menos de la mitad.</w:t>
      </w:r>
    </w:p>
    <w:p>
      <w:pPr>
        <w:spacing w:after="120" w:line="276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 w:val="0"/>
          <w:i w:val="0"/>
          <w:sz w:val="22"/>
        </w:rPr>
        <w:t>Las llamadas a soporte y los retrasos de pago anticipan la baja, mientras que un mayor gasto la previene.</w:t>
      </w:r>
    </w:p>
    <w:p>
      <w:pPr>
        <w:spacing w:after="120" w:line="276" w:lineRule="auto"/>
        <w:ind w:left="360"/>
      </w:pPr>
      <w:r>
        <w:rPr>
          <w:rFonts w:ascii="Titillium Web" w:hAnsi="Titillium Web"/>
          <w:b w:val="0"/>
          <w:i w:val="0"/>
          <w:sz w:val="22"/>
        </w:rPr>
        <w:t>•  El modelo Random Forest, entrenado con selección de hiperparámetros y validación cruzada, predice la baja con un AUC de 0,9997 en test y sin sobreajuste, convirtiendo el análisis en una herramienta operativa de retención.</w:t>
      </w:r>
    </w:p>
    <w:p>
      <w:pPr>
        <w:spacing w:after="120" w:line="276" w:lineRule="auto"/>
      </w:pPr>
      <w:r>
        <w:rPr>
          <w:rFonts w:ascii="Titillium Web" w:hAnsi="Titillium Web"/>
          <w:b/>
          <w:i w:val="0"/>
          <w:sz w:val="22"/>
        </w:rPr>
        <w:t xml:space="preserve">Recomendación final: </w:t>
      </w:r>
      <w:r>
        <w:rPr>
          <w:rFonts w:ascii="Titillium Web" w:hAnsi="Titillium Web"/>
          <w:b w:val="0"/>
          <w:i w:val="0"/>
          <w:sz w:val="22"/>
        </w:rPr>
        <w:t>integrar el modelo en un flujo de alerta temprana acompañado de acciones diferenciadas —migración de contratos mensuales, atención proactiva a clientes con alta carga de soporte y fidelización de clientes de bajo gasto.</w:t>
      </w:r>
    </w:p>
    <w:sectPr w:rsidR="00EB4E44" w:rsidRPr="00AA473D" w:rsidSect="00B354D4">
      <w:headerReference w:type="default" r:id="rId9"/>
      <w:footerReference w:type="default" r:id="rId10"/>
      <w:pgSz w:w="11906" w:h="16838"/>
      <w:pgMar w:top="2410" w:right="1558" w:bottom="1843" w:left="1418" w:header="708" w:footer="6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4DA7" w:rsidRDefault="00594DA7" w:rsidP="00495C7F">
      <w:pPr>
        <w:spacing w:after="0" w:line="240" w:lineRule="auto"/>
      </w:pPr>
      <w:r>
        <w:separator/>
      </w:r>
    </w:p>
  </w:endnote>
  <w:endnote w:type="continuationSeparator" w:id="0">
    <w:p w:rsidR="00594DA7" w:rsidRDefault="00594DA7" w:rsidP="00495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rcular Std Book">
    <w:panose1 w:val="00000000000000000000"/>
    <w:charset w:val="00"/>
    <w:family w:val="swiss"/>
    <w:notTrueType/>
    <w:pitch w:val="variable"/>
    <w:sig w:usb0="8000002F" w:usb1="5000E47B" w:usb2="00000008" w:usb3="00000000" w:csb0="00000001" w:csb1="00000000"/>
  </w:font>
  <w:font w:name="Titillium Web">
    <w:altName w:val="Titillium Web"/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Circular Std Black">
    <w:panose1 w:val="020B0A04020101010102"/>
    <w:charset w:val="00"/>
    <w:family w:val="swiss"/>
    <w:notTrueType/>
    <w:pitch w:val="variable"/>
    <w:sig w:usb0="8000002F" w:usb1="5000E47B" w:usb2="000000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5C7F" w:rsidRDefault="00495C7F" w:rsidP="00B354D4">
    <w:pPr>
      <w:pStyle w:val="Pa0"/>
      <w:rPr>
        <w:rFonts w:cs="Circular Std Book"/>
        <w:color w:val="000C9D"/>
        <w:sz w:val="20"/>
        <w:szCs w:val="20"/>
      </w:rPr>
    </w:pPr>
    <w:r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29763381" wp14:editId="36A2B63A">
          <wp:simplePos x="0" y="0"/>
          <wp:positionH relativeFrom="margin">
            <wp:align>right</wp:align>
          </wp:positionH>
          <wp:positionV relativeFrom="paragraph">
            <wp:posOffset>-71120</wp:posOffset>
          </wp:positionV>
          <wp:extent cx="1031875" cy="533000"/>
          <wp:effectExtent l="0" t="0" r="0" b="0"/>
          <wp:wrapNone/>
          <wp:docPr id="148" name="Imagen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oki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875" cy="53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91AED">
      <w:rPr>
        <w:rStyle w:val="A7"/>
        <w:b w:val="0"/>
        <w:bCs w:val="0"/>
      </w:rPr>
      <w:t>BIG DATA</w:t>
    </w:r>
  </w:p>
  <w:p w:rsidR="00495C7F" w:rsidRDefault="00B354D4" w:rsidP="00495C7F">
    <w:pPr>
      <w:pStyle w:val="Piedepgina"/>
      <w:rPr>
        <w:rStyle w:val="A7"/>
        <w:rFonts w:ascii="Circular Std Black" w:hAnsi="Circular Std Black" w:cs="Circular Std Black"/>
      </w:rPr>
    </w:pPr>
    <w:r>
      <w:rPr>
        <w:rStyle w:val="A7"/>
        <w:rFonts w:ascii="Circular Std Black" w:hAnsi="Circular Std Black" w:cs="Circular Std Black"/>
      </w:rPr>
      <w:t>PROYECTO FINAL</w:t>
    </w:r>
  </w:p>
  <w:p w:rsidR="0038384E" w:rsidRDefault="0038384E" w:rsidP="00495C7F">
    <w:pPr>
      <w:pStyle w:val="Piedepgina"/>
    </w:pPr>
    <w:r>
      <w:rPr>
        <w:rStyle w:val="A7"/>
        <w:rFonts w:ascii="Circular Std Black" w:hAnsi="Circular Std Black" w:cs="Circular Std Black"/>
      </w:rPr>
      <w:t>Juan David Collazos González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4DA7" w:rsidRDefault="00594DA7" w:rsidP="00495C7F">
      <w:pPr>
        <w:spacing w:after="0" w:line="240" w:lineRule="auto"/>
      </w:pPr>
      <w:r>
        <w:separator/>
      </w:r>
    </w:p>
  </w:footnote>
  <w:footnote w:type="continuationSeparator" w:id="0">
    <w:p w:rsidR="00594DA7" w:rsidRDefault="00594DA7" w:rsidP="00495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5C7F" w:rsidRDefault="00BC0B15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17214782" wp14:editId="72C10012">
          <wp:simplePos x="0" y="0"/>
          <wp:positionH relativeFrom="column">
            <wp:posOffset>5328058</wp:posOffset>
          </wp:positionH>
          <wp:positionV relativeFrom="paragraph">
            <wp:posOffset>-1905</wp:posOffset>
          </wp:positionV>
          <wp:extent cx="350450" cy="313690"/>
          <wp:effectExtent l="0" t="0" r="0" b="0"/>
          <wp:wrapNone/>
          <wp:docPr id="146" name="Imagen 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sotipo azu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 flipV="1">
                    <a:off x="0" y="0"/>
                    <a:ext cx="350450" cy="313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41FD">
      <w:rPr>
        <w:noProof/>
        <w:lang w:eastAsia="es-ES"/>
      </w:rPr>
      <w:drawing>
        <wp:anchor distT="0" distB="0" distL="114300" distR="114300" simplePos="0" relativeHeight="251660288" behindDoc="0" locked="0" layoutInCell="1" allowOverlap="1" wp14:anchorId="73C43F2E" wp14:editId="4AB8AB71">
          <wp:simplePos x="0" y="0"/>
          <wp:positionH relativeFrom="column">
            <wp:posOffset>-52602</wp:posOffset>
          </wp:positionH>
          <wp:positionV relativeFrom="paragraph">
            <wp:posOffset>3175</wp:posOffset>
          </wp:positionV>
          <wp:extent cx="692150" cy="362585"/>
          <wp:effectExtent l="0" t="0" r="0" b="0"/>
          <wp:wrapNone/>
          <wp:docPr id="147" name="Imagen 147" descr="C:\Users\Andrea\AppData\Local\Microsoft\Windows\INetCache\Content.Word\new technology school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6" descr="C:\Users\Andrea\AppData\Local\Microsoft\Windows\INetCache\Content.Word\new technology school-0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362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C8116A"/>
    <w:multiLevelType w:val="hybridMultilevel"/>
    <w:tmpl w:val="0BFC1E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D0BB3"/>
    <w:multiLevelType w:val="hybridMultilevel"/>
    <w:tmpl w:val="FA2E38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C581B"/>
    <w:multiLevelType w:val="hybridMultilevel"/>
    <w:tmpl w:val="980A57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B44E6"/>
    <w:multiLevelType w:val="hybridMultilevel"/>
    <w:tmpl w:val="5DCE22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014BA"/>
    <w:multiLevelType w:val="hybridMultilevel"/>
    <w:tmpl w:val="8BD052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842EB"/>
    <w:multiLevelType w:val="hybridMultilevel"/>
    <w:tmpl w:val="D61C74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C0AA2"/>
    <w:multiLevelType w:val="hybridMultilevel"/>
    <w:tmpl w:val="4546DA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6F4C8F"/>
    <w:multiLevelType w:val="hybridMultilevel"/>
    <w:tmpl w:val="494E886A"/>
    <w:lvl w:ilvl="0" w:tplc="BC2EAE3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C0A0019">
      <w:start w:val="1"/>
      <w:numFmt w:val="lowerLetter"/>
      <w:lvlText w:val="%2."/>
      <w:lvlJc w:val="left"/>
      <w:pPr>
        <w:ind w:left="1636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C6264"/>
    <w:multiLevelType w:val="hybridMultilevel"/>
    <w:tmpl w:val="AE9C22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4337">
      <o:colormenu v:ext="edit" strokecolor="#000f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4D4"/>
    <w:rsid w:val="000441FD"/>
    <w:rsid w:val="0006237E"/>
    <w:rsid w:val="0007312F"/>
    <w:rsid w:val="00116E33"/>
    <w:rsid w:val="0038384E"/>
    <w:rsid w:val="00391AED"/>
    <w:rsid w:val="003E6F7F"/>
    <w:rsid w:val="004808A3"/>
    <w:rsid w:val="00495C7F"/>
    <w:rsid w:val="005561EF"/>
    <w:rsid w:val="00594DA7"/>
    <w:rsid w:val="006A0D0D"/>
    <w:rsid w:val="006B45DC"/>
    <w:rsid w:val="006D5B6D"/>
    <w:rsid w:val="00725A47"/>
    <w:rsid w:val="00770747"/>
    <w:rsid w:val="007738EF"/>
    <w:rsid w:val="00793CBE"/>
    <w:rsid w:val="008B641A"/>
    <w:rsid w:val="009802B8"/>
    <w:rsid w:val="009A750C"/>
    <w:rsid w:val="00A50DE0"/>
    <w:rsid w:val="00AD20D7"/>
    <w:rsid w:val="00AF2062"/>
    <w:rsid w:val="00B354D4"/>
    <w:rsid w:val="00B44A15"/>
    <w:rsid w:val="00B82A65"/>
    <w:rsid w:val="00BC0B15"/>
    <w:rsid w:val="00BF5FE5"/>
    <w:rsid w:val="00C87920"/>
    <w:rsid w:val="00DA2190"/>
    <w:rsid w:val="00DD4094"/>
    <w:rsid w:val="00E07DD9"/>
    <w:rsid w:val="00E51DD3"/>
    <w:rsid w:val="00E60D5A"/>
    <w:rsid w:val="00EB4E44"/>
    <w:rsid w:val="00EC3F8C"/>
    <w:rsid w:val="00F6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>
      <o:colormenu v:ext="edit" strokecolor="#000f9f"/>
    </o:shapedefaults>
    <o:shapelayout v:ext="edit">
      <o:idmap v:ext="edit" data="1"/>
    </o:shapelayout>
  </w:shapeDefaults>
  <w:decimalSymbol w:val=","/>
  <w:listSeparator w:val=";"/>
  <w15:docId w15:val="{250ABB30-BFD0-40EB-B099-73B10067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5C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5C7F"/>
  </w:style>
  <w:style w:type="paragraph" w:styleId="Piedepgina">
    <w:name w:val="footer"/>
    <w:basedOn w:val="Normal"/>
    <w:link w:val="PiedepginaCar"/>
    <w:uiPriority w:val="99"/>
    <w:unhideWhenUsed/>
    <w:rsid w:val="00495C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5C7F"/>
  </w:style>
  <w:style w:type="paragraph" w:customStyle="1" w:styleId="Pa0">
    <w:name w:val="Pa0"/>
    <w:basedOn w:val="Normal"/>
    <w:next w:val="Normal"/>
    <w:uiPriority w:val="99"/>
    <w:rsid w:val="00495C7F"/>
    <w:pPr>
      <w:autoSpaceDE w:val="0"/>
      <w:autoSpaceDN w:val="0"/>
      <w:adjustRightInd w:val="0"/>
      <w:spacing w:after="0" w:line="241" w:lineRule="atLeast"/>
    </w:pPr>
    <w:rPr>
      <w:rFonts w:ascii="Circular Std Book" w:hAnsi="Circular Std Book" w:cs="Times New Roman"/>
      <w:sz w:val="24"/>
      <w:szCs w:val="24"/>
    </w:rPr>
  </w:style>
  <w:style w:type="character" w:customStyle="1" w:styleId="A7">
    <w:name w:val="A7"/>
    <w:uiPriority w:val="99"/>
    <w:rsid w:val="00495C7F"/>
    <w:rPr>
      <w:rFonts w:cs="Circular Std Book"/>
      <w:b/>
      <w:bCs/>
      <w:color w:val="000C9D"/>
      <w:sz w:val="20"/>
      <w:szCs w:val="20"/>
    </w:rPr>
  </w:style>
  <w:style w:type="paragraph" w:customStyle="1" w:styleId="Tokio">
    <w:name w:val="Tokio"/>
    <w:basedOn w:val="Normal"/>
    <w:link w:val="TokioCar"/>
    <w:qFormat/>
    <w:rsid w:val="000441FD"/>
    <w:rPr>
      <w:rFonts w:ascii="Titillium Web" w:hAnsi="Titillium Web"/>
      <w:color w:val="595959" w:themeColor="text1" w:themeTint="A6"/>
    </w:rPr>
  </w:style>
  <w:style w:type="paragraph" w:customStyle="1" w:styleId="TokioTtulo">
    <w:name w:val="Tokio Título"/>
    <w:basedOn w:val="Tokio"/>
    <w:link w:val="TokioTtuloCar"/>
    <w:qFormat/>
    <w:rsid w:val="00E07DD9"/>
    <w:rPr>
      <w:rFonts w:ascii="Circular Std Black" w:hAnsi="Circular Std Black"/>
      <w:color w:val="060E9F"/>
      <w:sz w:val="40"/>
    </w:rPr>
  </w:style>
  <w:style w:type="paragraph" w:styleId="Prrafodelista">
    <w:name w:val="List Paragraph"/>
    <w:basedOn w:val="Normal"/>
    <w:uiPriority w:val="34"/>
    <w:qFormat/>
    <w:rsid w:val="000441FD"/>
    <w:pPr>
      <w:ind w:left="720"/>
      <w:contextualSpacing/>
    </w:pPr>
  </w:style>
  <w:style w:type="character" w:customStyle="1" w:styleId="TokioCar">
    <w:name w:val="Tokio Car"/>
    <w:basedOn w:val="Fuentedeprrafopredeter"/>
    <w:link w:val="Tokio"/>
    <w:rsid w:val="000441FD"/>
    <w:rPr>
      <w:rFonts w:ascii="Titillium Web" w:hAnsi="Titillium Web"/>
      <w:color w:val="595959" w:themeColor="text1" w:themeTint="A6"/>
    </w:rPr>
  </w:style>
  <w:style w:type="character" w:customStyle="1" w:styleId="TokioTtuloCar">
    <w:name w:val="Tokio Título Car"/>
    <w:basedOn w:val="TokioCar"/>
    <w:link w:val="TokioTtulo"/>
    <w:rsid w:val="00E07DD9"/>
    <w:rPr>
      <w:rFonts w:ascii="Circular Std Black" w:hAnsi="Circular Std Black"/>
      <w:color w:val="060E9F"/>
      <w:sz w:val="40"/>
    </w:rPr>
  </w:style>
  <w:style w:type="paragraph" w:styleId="NormalWeb">
    <w:name w:val="Normal (Web)"/>
    <w:basedOn w:val="Normal"/>
    <w:uiPriority w:val="99"/>
    <w:semiHidden/>
    <w:unhideWhenUsed/>
    <w:rsid w:val="00E07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CURSO">
    <w:name w:val="CURSO"/>
    <w:basedOn w:val="TokioTtulo"/>
    <w:link w:val="CURSOCar"/>
    <w:qFormat/>
    <w:rsid w:val="00B354D4"/>
    <w:pPr>
      <w:jc w:val="center"/>
    </w:pPr>
  </w:style>
  <w:style w:type="paragraph" w:styleId="Sinespaciado">
    <w:name w:val="No Spacing"/>
    <w:link w:val="SinespaciadoCar"/>
    <w:uiPriority w:val="1"/>
    <w:qFormat/>
    <w:rsid w:val="00B354D4"/>
    <w:pPr>
      <w:spacing w:after="0" w:line="240" w:lineRule="auto"/>
    </w:pPr>
    <w:rPr>
      <w:rFonts w:eastAsiaTheme="minorEastAsia"/>
      <w:lang w:eastAsia="es-ES"/>
    </w:rPr>
  </w:style>
  <w:style w:type="character" w:customStyle="1" w:styleId="CURSOCar">
    <w:name w:val="CURSO Car"/>
    <w:basedOn w:val="TokioTtuloCar"/>
    <w:link w:val="CURSO"/>
    <w:rsid w:val="00B354D4"/>
    <w:rPr>
      <w:rFonts w:ascii="Circular Std Black" w:hAnsi="Circular Std Black"/>
      <w:color w:val="060E9F"/>
      <w:sz w:val="4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354D4"/>
    <w:rPr>
      <w:rFonts w:eastAsiaTheme="minorEastAsia"/>
      <w:lang w:eastAsia="es-ES"/>
    </w:rPr>
  </w:style>
  <w:style w:type="paragraph" w:customStyle="1" w:styleId="Default">
    <w:name w:val="Default"/>
    <w:rsid w:val="00793CBE"/>
    <w:pPr>
      <w:autoSpaceDE w:val="0"/>
      <w:autoSpaceDN w:val="0"/>
      <w:adjustRightInd w:val="0"/>
      <w:spacing w:after="0" w:line="240" w:lineRule="auto"/>
    </w:pPr>
    <w:rPr>
      <w:rFonts w:ascii="Titillium Web" w:hAnsi="Titillium Web" w:cs="Titillium Web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8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ndrea\Desktop\Formato%20de%20car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de carta</Template>
  <TotalTime>147</TotalTime>
  <Pages>4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Repsol</Company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Patricia</cp:lastModifiedBy>
  <cp:revision>11</cp:revision>
  <dcterms:created xsi:type="dcterms:W3CDTF">2018-09-19T14:46:00Z</dcterms:created>
  <dcterms:modified xsi:type="dcterms:W3CDTF">2022-02-18T12:20:00Z</dcterms:modified>
</cp:coreProperties>
</file>