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2300" w:hRule="exact"/>
        </w:trPr>
        <w:tc>
          <w:tcPr>
            <w:tcW w:type="dxa" w:w="12240"/>
            <w:tcBorders>
              <w:top w:val="none" w:color="FFFFFF" w:sz="0"/>
              <w:left w:val="none" w:color="FFFFFF" w:sz="0"/>
              <w:bottom w:val="single" w:color="FDB913" w:sz="24"/>
              <w:right w:val="none" w:color="FFFFFF" w:sz="0"/>
            </w:tcBorders>
            <w:shd w:fill="021952" w:color="auto" w:val="clear"/>
            <w:tcMar>
              <w:top w:type="dxa" w:w="0"/>
              <w:left w:type="dxa" w:w="0"/>
              <w:bottom w:type="dxa" w:w="0"/>
              <w:right w:type="dxa" w:w="0"/>
            </w:tcMar>
            <w:vAlign w:val="center"/>
          </w:tcPr>
          <w:p>
            <w:pPr>
              <w:spacing w:after="90" w:before="0" w:line="276"/>
              <w:jc w:val="center"/>
            </w:pPr>
            <w:r>
              <w:rPr>
                <w:rFonts w:ascii="Latin Modern Roman" w:cs="Latin Modern Roman" w:eastAsia="Latin Modern Roman" w:hAnsi="Latin Modern Roman"/>
                <w:b w:val="false"/>
                <w:bCs w:val="false"/>
                <w:color w:val="FFFFFF"/>
                <w:spacing w:val="40"/>
                <w:sz w:val="40"/>
                <w:szCs w:val="40"/>
              </w:rPr>
              <w:t xml:space="preserve">UNIVERSIDAD SANTO TOMÁS</w:t>
            </w:r>
          </w:p>
          <w:p>
            <w:pPr>
              <w:spacing w:after="0" w:before="0" w:line="276"/>
              <w:jc w:val="center"/>
            </w:pPr>
            <w:r>
              <w:rPr>
                <w:rFonts w:ascii="Latin Modern Roman" w:cs="Latin Modern Roman" w:eastAsia="Latin Modern Roman" w:hAnsi="Latin Modern Roman"/>
                <w:color w:val="FDB913"/>
                <w:sz w:val="21"/>
                <w:szCs w:val="21"/>
              </w:rPr>
              <w:t xml:space="preserve">Asignatura Consultoría Estadística  ·  2026-II</w:t>
            </w:r>
          </w:p>
        </w:tc>
      </w:tr>
      <w:tr>
        <w:trPr>
          <w:trHeight w:val="12440" w:hRule="exact"/>
        </w:trPr>
        <w:tc>
          <w:tcPr>
            <w:tcW w:type="dxa" w:w="12240"/>
            <w:tcBorders>
              <w:top w:val="none" w:color="FFFFFF" w:sz="0"/>
              <w:left w:val="none" w:color="FFFFFF" w:sz="0"/>
              <w:bottom w:val="none" w:color="FFFFFF" w:sz="0"/>
              <w:right w:val="none" w:color="FFFFFF" w:sz="0"/>
            </w:tcBorders>
            <w:tcMar>
              <w:top w:type="dxa" w:w="0"/>
              <w:left w:type="dxa" w:w="1500"/>
              <w:bottom w:type="dxa" w:w="0"/>
              <w:right w:type="dxa" w:w="1500"/>
            </w:tcMar>
            <w:vAlign w:val="top"/>
          </w:tcPr>
          <w:p>
            <w:pPr>
              <w:spacing w:after="500" w:before="1500" w:line="276"/>
              <w:jc w:val="center"/>
            </w:pPr>
            <w:r>
              <w:rPr>
                <w:rFonts w:ascii="Latin Modern Roman" w:cs="Latin Modern Roman" w:eastAsia="Latin Modern Roman" w:hAnsi="Latin Modern Roman"/>
                <w:color w:val="003876"/>
                <w:sz w:val="20"/>
                <w:szCs w:val="20"/>
              </w:rPr>
              <w:t xml:space="preserve">Proyecto de consultoría USTA 2026-II</w:t>
            </w:r>
          </w:p>
          <w:p>
            <w:pPr>
              <w:pBdr>
                <w:top w:val="single" w:color="FDB913" w:sz="8" w:space="1"/>
              </w:pBdr>
              <w:spacing w:after="0" w:before="0" w:line="276"/>
              <w:jc w:val="center"/>
            </w:pPr>
            <w:r>
              <w:rPr>
                <w:rFonts w:ascii="Latin Modern Roman" w:cs="Latin Modern Roman" w:eastAsia="Latin Modern Roman" w:hAnsi="Latin Modern Roman"/>
                <w:sz w:val="4"/>
                <w:szCs w:val="4"/>
              </w:rPr>
              <w:t xml:space="preserve"/>
            </w:r>
          </w:p>
          <w:p>
            <w:pPr>
              <w:spacing w:after="0" w:before="200" w:line="300"/>
              <w:jc w:val="center"/>
            </w:pPr>
            <w:r>
              <w:rPr>
                <w:rFonts w:ascii="Latin Modern Roman" w:cs="Latin Modern Roman" w:eastAsia="Latin Modern Roman" w:hAnsi="Latin Modern Roman"/>
                <w:b/>
                <w:bCs/>
                <w:color w:val="003876"/>
                <w:sz w:val="44"/>
                <w:szCs w:val="44"/>
              </w:rPr>
              <w:t xml:space="preserve">Revisión de fuentes</w:t>
            </w:r>
          </w:p>
          <w:p>
            <w:pPr>
              <w:spacing w:after="0" w:before="0" w:line="340"/>
              <w:jc w:val="center"/>
            </w:pPr>
            <w:r>
              <w:rPr>
                <w:rFonts w:ascii="Latin Modern Roman" w:cs="Latin Modern Roman" w:eastAsia="Latin Modern Roman" w:hAnsi="Latin Modern Roman"/>
                <w:color w:val="003876"/>
                <w:sz w:val="32"/>
                <w:szCs w:val="32"/>
              </w:rPr>
              <w:t xml:space="preserve">Evaluación de sistemas de IA y trazabilidad del estado del arte</w:t>
            </w:r>
          </w:p>
          <w:p>
            <w:pPr>
              <w:spacing w:after="100" w:before="160" w:line="276"/>
              <w:jc w:val="center"/>
            </w:pPr>
            <w:r>
              <w:rPr>
                <w:rFonts w:ascii="Latin Modern Roman" w:cs="Latin Modern Roman" w:eastAsia="Latin Modern Roman" w:hAnsi="Latin Modern Roman"/>
                <w:color w:val="003876"/>
                <w:sz w:val="26"/>
                <w:szCs w:val="26"/>
              </w:rPr>
              <w:t xml:space="preserve">Actividad Corte 2</w:t>
            </w:r>
          </w:p>
          <w:p>
            <w:pPr>
              <w:spacing w:after="200" w:before="100" w:line="276"/>
              <w:jc w:val="center"/>
            </w:pPr>
            <w:r>
              <w:rPr>
                <w:rFonts w:ascii="Latin Modern Roman" w:cs="Latin Modern Roman" w:eastAsia="Latin Modern Roman" w:hAnsi="Latin Modern Roman"/>
                <w:i/>
                <w:iCs/>
                <w:sz w:val="22"/>
                <w:szCs w:val="22"/>
              </w:rPr>
              <w:t xml:space="preserve">Qué se hizo, por qué, cómo se comprobó y qué no se garantiza</w:t>
            </w:r>
          </w:p>
          <w:p>
            <w:pPr>
              <w:pBdr>
                <w:bottom w:val="single" w:color="FDB913" w:sz="8" w:space="1"/>
              </w:pBdr>
              <w:spacing w:after="0" w:before="0" w:line="276"/>
              <w:jc w:val="center"/>
            </w:pPr>
            <w:r>
              <w:rPr>
                <w:rFonts w:ascii="Latin Modern Roman" w:cs="Latin Modern Roman" w:eastAsia="Latin Modern Roman" w:hAnsi="Latin Modern Roman"/>
                <w:sz w:val="4"/>
                <w:szCs w:val="4"/>
              </w:rPr>
              <w:t xml:space="preserve"/>
            </w:r>
          </w:p>
          <w:p>
            <w:pPr>
              <w:spacing w:after="60" w:before="420" w:line="276"/>
              <w:jc w:val="center"/>
            </w:pPr>
            <w:r>
              <w:rPr>
                <w:rFonts w:ascii="Latin Modern Roman" w:cs="Latin Modern Roman" w:eastAsia="Latin Modern Roman" w:hAnsi="Latin Modern Roman"/>
                <w:b/>
                <w:bCs/>
                <w:color w:val="003876"/>
                <w:sz w:val="22"/>
                <w:szCs w:val="22"/>
              </w:rPr>
              <w:t xml:space="preserve">Autores</w:t>
            </w:r>
          </w:p>
          <w:p>
            <w:pPr>
              <w:spacing w:after="300" w:before="0" w:line="276"/>
              <w:jc w:val="center"/>
            </w:pPr>
            <w:r>
              <w:rPr>
                <w:rFonts w:ascii="Latin Modern Roman" w:cs="Latin Modern Roman" w:eastAsia="Latin Modern Roman" w:hAnsi="Latin Modern Roman"/>
                <w:sz w:val="24"/>
                <w:szCs w:val="24"/>
              </w:rPr>
              <w:t xml:space="preserve">Juan David Cacua · Camilo Velandia</w:t>
            </w:r>
          </w:p>
          <w:p>
            <w:pPr>
              <w:spacing w:after="60" w:before="0" w:line="276"/>
              <w:jc w:val="center"/>
            </w:pPr>
            <w:r>
              <w:rPr>
                <w:rFonts w:ascii="Latin Modern Roman" w:cs="Latin Modern Roman" w:eastAsia="Latin Modern Roman" w:hAnsi="Latin Modern Roman"/>
                <w:b/>
                <w:bCs/>
                <w:color w:val="003876"/>
                <w:sz w:val="22"/>
                <w:szCs w:val="22"/>
              </w:rPr>
              <w:t xml:space="preserve">Fecha</w:t>
            </w:r>
          </w:p>
          <w:p>
            <w:pPr>
              <w:spacing w:after="360" w:before="0" w:line="276"/>
              <w:jc w:val="center"/>
            </w:pPr>
            <w:r>
              <w:rPr>
                <w:rFonts w:ascii="Latin Modern Roman" w:cs="Latin Modern Roman" w:eastAsia="Latin Modern Roman" w:hAnsi="Latin Modern Roman"/>
                <w:sz w:val="20"/>
                <w:szCs w:val="20"/>
              </w:rPr>
              <w:t xml:space="preserve">Documento consolidado: 2 de octubre de 2026</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tblGrid>
            <w:tr>
              <w:trPr>
                <w:cantSplit/>
              </w:trPr>
              <w:tc>
                <w:tcPr>
                  <w:tcW w:type="dxa" w:w="230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252"/>
                    <w:jc w:val="right"/>
                  </w:pPr>
                  <w:r>
                    <w:rPr>
                      <w:rFonts w:ascii="Latin Modern Roman" w:cs="Latin Modern Roman" w:eastAsia="Latin Modern Roman" w:hAnsi="Latin Modern Roman"/>
                      <w:b/>
                      <w:bCs/>
                      <w:sz w:val="20"/>
                      <w:szCs w:val="20"/>
                    </w:rPr>
                    <w:t xml:space="preserve">Asignatura:</w:t>
                  </w:r>
                </w:p>
              </w:tc>
              <w:tc>
                <w:tcPr>
                  <w:tcW w:type="dxa" w:w="530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252"/>
                  </w:pPr>
                  <w:r>
                    <w:rPr>
                      <w:rFonts w:ascii="Latin Modern Roman" w:cs="Latin Modern Roman" w:eastAsia="Latin Modern Roman" w:hAnsi="Latin Modern Roman"/>
                      <w:sz w:val="20"/>
                      <w:szCs w:val="20"/>
                    </w:rPr>
                    <w:t xml:space="preserve">Consultoría Estadística</w:t>
                  </w:r>
                </w:p>
              </w:tc>
            </w:tr>
            <w:tr>
              <w:trPr>
                <w:cantSplit/>
              </w:trPr>
              <w:tc>
                <w:tcPr>
                  <w:tcW w:type="dxa" w:w="230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252"/>
                    <w:jc w:val="right"/>
                  </w:pPr>
                  <w:r>
                    <w:rPr>
                      <w:rFonts w:ascii="Latin Modern Roman" w:cs="Latin Modern Roman" w:eastAsia="Latin Modern Roman" w:hAnsi="Latin Modern Roman"/>
                      <w:b/>
                      <w:bCs/>
                      <w:sz w:val="20"/>
                      <w:szCs w:val="20"/>
                    </w:rPr>
                    <w:t xml:space="preserve">Propósito:</w:t>
                  </w:r>
                </w:p>
              </w:tc>
              <w:tc>
                <w:tcPr>
                  <w:tcW w:type="dxa" w:w="530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252"/>
                  </w:pPr>
                  <w:r>
                    <w:rPr>
                      <w:rFonts w:ascii="Latin Modern Roman" w:cs="Latin Modern Roman" w:eastAsia="Latin Modern Roman" w:hAnsi="Latin Modern Roman"/>
                      <w:sz w:val="20"/>
                      <w:szCs w:val="20"/>
                    </w:rPr>
                    <w:t xml:space="preserve">Evaluar sistemas de IA con contexto cerrado y construir el sistema de fuentes del anteproyecto</w:t>
                  </w:r>
                </w:p>
              </w:tc>
            </w:tr>
            <w:tr>
              <w:trPr>
                <w:cantSplit/>
              </w:trPr>
              <w:tc>
                <w:tcPr>
                  <w:tcW w:type="dxa" w:w="230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252"/>
                    <w:jc w:val="right"/>
                  </w:pPr>
                  <w:r>
                    <w:rPr>
                      <w:rFonts w:ascii="Latin Modern Roman" w:cs="Latin Modern Roman" w:eastAsia="Latin Modern Roman" w:hAnsi="Latin Modern Roman"/>
                      <w:b/>
                      <w:bCs/>
                      <w:sz w:val="20"/>
                      <w:szCs w:val="20"/>
                    </w:rPr>
                    <w:t xml:space="preserve">Caso de estudio:</w:t>
                  </w:r>
                </w:p>
              </w:tc>
              <w:tc>
                <w:tcPr>
                  <w:tcW w:type="dxa" w:w="530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252"/>
                  </w:pPr>
                  <w:r>
                    <w:rPr>
                      <w:rFonts w:ascii="Latin Modern Roman" w:cs="Latin Modern Roman" w:eastAsia="Latin Modern Roman" w:hAnsi="Latin Modern Roman"/>
                      <w:sz w:val="20"/>
                      <w:szCs w:val="20"/>
                    </w:rPr>
                    <w:t xml:space="preserve">Estenosis lumbar y conjunto RSNA 2024</w:t>
                  </w:r>
                </w:p>
              </w:tc>
            </w:tr>
            <w:tr>
              <w:trPr>
                <w:cantSplit/>
              </w:trPr>
              <w:tc>
                <w:tcPr>
                  <w:tcW w:type="dxa" w:w="230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252"/>
                    <w:jc w:val="right"/>
                  </w:pPr>
                  <w:r>
                    <w:rPr>
                      <w:rFonts w:ascii="Latin Modern Roman" w:cs="Latin Modern Roman" w:eastAsia="Latin Modern Roman" w:hAnsi="Latin Modern Roman"/>
                      <w:b/>
                      <w:bCs/>
                      <w:sz w:val="20"/>
                      <w:szCs w:val="20"/>
                    </w:rPr>
                    <w:t xml:space="preserve">Herramientas de IA:</w:t>
                  </w:r>
                </w:p>
              </w:tc>
              <w:tc>
                <w:tcPr>
                  <w:tcW w:type="dxa" w:w="530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252"/>
                  </w:pPr>
                  <w:r>
                    <w:rPr>
                      <w:rFonts w:ascii="Latin Modern Roman" w:cs="Latin Modern Roman" w:eastAsia="Latin Modern Roman" w:hAnsi="Latin Modern Roman"/>
                      <w:sz w:val="20"/>
                      <w:szCs w:val="20"/>
                    </w:rPr>
                    <w:t xml:space="preserve">Gemini 3.6 Flash · Claude · NotebookLM</w:t>
                  </w:r>
                </w:p>
              </w:tc>
            </w:tr>
            <w:tr>
              <w:trPr>
                <w:cantSplit/>
              </w:trPr>
              <w:tc>
                <w:tcPr>
                  <w:tcW w:type="dxa" w:w="230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252"/>
                    <w:jc w:val="right"/>
                  </w:pPr>
                  <w:r>
                    <w:rPr>
                      <w:rFonts w:ascii="Latin Modern Roman" w:cs="Latin Modern Roman" w:eastAsia="Latin Modern Roman" w:hAnsi="Latin Modern Roman"/>
                      <w:b/>
                      <w:bCs/>
                      <w:sz w:val="20"/>
                      <w:szCs w:val="20"/>
                    </w:rPr>
                    <w:t xml:space="preserve">Contenido:</w:t>
                  </w:r>
                </w:p>
              </w:tc>
              <w:tc>
                <w:tcPr>
                  <w:tcW w:type="dxa" w:w="530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252"/>
                  </w:pPr>
                  <w:r>
                    <w:rPr>
                      <w:rFonts w:ascii="Latin Modern Roman" w:cs="Latin Modern Roman" w:eastAsia="Latin Modern Roman" w:hAnsi="Latin Modern Roman"/>
                      <w:sz w:val="20"/>
                      <w:szCs w:val="20"/>
                    </w:rPr>
                    <w:t xml:space="preserve">6 fallos · 18 preguntas · 30 referencias · 10 fuentes · 8 afirmaciones trazadas</w:t>
                  </w:r>
                </w:p>
              </w:tc>
            </w:tr>
            <w:tr>
              <w:trPr>
                <w:cantSplit/>
              </w:trPr>
              <w:tc>
                <w:tcPr>
                  <w:tcW w:type="dxa" w:w="230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252"/>
                    <w:jc w:val="right"/>
                  </w:pPr>
                  <w:r>
                    <w:rPr>
                      <w:rFonts w:ascii="Latin Modern Roman" w:cs="Latin Modern Roman" w:eastAsia="Latin Modern Roman" w:hAnsi="Latin Modern Roman"/>
                      <w:b/>
                      <w:bCs/>
                      <w:sz w:val="20"/>
                      <w:szCs w:val="20"/>
                    </w:rPr>
                    <w:t xml:space="preserve">Estado:</w:t>
                  </w:r>
                </w:p>
              </w:tc>
              <w:tc>
                <w:tcPr>
                  <w:tcW w:type="dxa" w:w="530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252"/>
                  </w:pPr>
                  <w:r>
                    <w:rPr>
                      <w:rFonts w:ascii="Latin Modern Roman" w:cs="Latin Modern Roman" w:eastAsia="Latin Modern Roman" w:hAnsi="Latin Modern Roman"/>
                      <w:sz w:val="20"/>
                      <w:szCs w:val="20"/>
                    </w:rPr>
                    <w:t xml:space="preserve">Consolidado; con 10 observaciones (1 resuelta) y 4 acciones pendientes (Sección 9)</w:t>
                  </w:r>
                </w:p>
              </w:tc>
            </w:tr>
          </w:tbl>
          <w:p>
            <w:pPr>
              <w:spacing w:before="500"/>
              <w:jc w:val="center"/>
            </w:pPr>
            <w:r>
              <w:rPr>
                <w:rFonts w:ascii="Latin Modern Roman" w:cs="Latin Modern Roman" w:eastAsia="Latin Modern Roman" w:hAnsi="Latin Modern Roman"/>
                <w:color w:val="333333"/>
                <w:sz w:val="17"/>
                <w:szCs w:val="17"/>
              </w:rPr>
              <w:t xml:space="preserve">Este documento consolida la actividad del Corte 2. Las cifras de intervalos y de acuerdo se recalcularon durante el análisis; las observaciones que no figuraban en el original están en la Sección 9.</w:t>
            </w:r>
          </w:p>
        </w:tc>
      </w:tr>
      <w:tr>
        <w:trPr>
          <w:trHeight w:val="700" w:hRule="exact"/>
        </w:trPr>
        <w:tc>
          <w:tcPr>
            <w:tcW w:type="dxa" w:w="12240"/>
            <w:tcBorders>
              <w:top w:val="none" w:color="FFFFFF" w:sz="0"/>
              <w:left w:val="none" w:color="FFFFFF" w:sz="0"/>
              <w:bottom w:val="single" w:color="FDB913" w:sz="24"/>
              <w:right w:val="none" w:color="FFFFFF" w:sz="0"/>
            </w:tcBorders>
            <w:shd w:fill="021952" w:color="auto" w:val="clear"/>
            <w:tcMar>
              <w:top w:type="dxa" w:w="0"/>
              <w:left w:type="dxa" w:w="0"/>
              <w:bottom w:type="dxa" w:w="0"/>
              <w:right w:type="dxa" w:w="0"/>
            </w:tcMar>
            <w:vAlign w:val="center"/>
          </w:tcPr>
          <w:p>
            <w:pPr>
              <w:spacing w:after="0" w:before="0" w:line="276"/>
              <w:jc w:val="center"/>
            </w:pPr>
            <w:r>
              <w:rPr>
                <w:rFonts w:ascii="Latin Modern Roman" w:cs="Latin Modern Roman" w:eastAsia="Latin Modern Roman" w:hAnsi="Latin Modern Roman"/>
                <w:color w:val="FFFFFF"/>
                <w:sz w:val="17"/>
                <w:szCs w:val="17"/>
              </w:rPr>
              <w:t xml:space="preserve">Documento de trabajo académico  ·  no contiene datos personales</w:t>
            </w:r>
          </w:p>
        </w:tc>
      </w:tr>
    </w:tbl>
    <w:p>
      <w:pPr>
        <w:sectPr>
          <w:pgSz w:w="12240" w:h="15840" w:orient="portrait"/>
          <w:pgMar w:top="0" w:right="0" w:bottom="0" w:left="0" w:header="0" w:footer="0" w:gutter="0"/>
          <w:pgNumType/>
          <w:docGrid w:linePitch="360"/>
        </w:sectPr>
      </w:pPr>
    </w:p>
    <w:p>
      <w:pPr>
        <w:pStyle w:val="Heading1"/>
        <w:keepNext/>
        <w:pBdr>
          <w:bottom w:val="single" w:color="FDB913" w:sz="8" w:space="3"/>
        </w:pBdr>
        <w:spacing w:after="200" w:before="0" w:line="288"/>
      </w:pPr>
      <w:r>
        <w:rPr>
          <w:rFonts w:ascii="Latin Modern Roman" w:cs="Latin Modern Roman" w:eastAsia="Latin Modern Roman" w:hAnsi="Latin Modern Roman"/>
          <w:b/>
          <w:bCs/>
          <w:color w:val="003876"/>
          <w:sz w:val="28"/>
          <w:szCs w:val="28"/>
        </w:rPr>
        <w:t xml:space="preserve">Índice</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1. Resumen ejecutivo</w:t>
        <w:tab/>
        <w:t xml:space="preserve">3</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2. Contexto y alcance</w:t>
        <w:tab/>
        <w:t xml:space="preserve">4</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2.1. El propósito manda</w:t>
        <w:tab/>
        <w:t xml:space="preserve">4</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2.2. Equipo y herramientas</w:t>
        <w:tab/>
        <w:t xml:space="preserve">4</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2.3. Marco de referencia</w:t>
        <w:tab/>
        <w:t xml:space="preserve">4</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3. Inventario de fallos</w:t>
        <w:tab/>
        <w:t xml:space="preserve">5</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3.1. Qué se registró</w:t>
        <w:tab/>
        <w:t xml:space="preserve">5</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3.2. Qué enseña el inventario</w:t>
        <w:tab/>
        <w:t xml:space="preserve">5</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4. Banco de preguntas de evaluación</w:t>
        <w:tab/>
        <w:t xml:space="preserve">6</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4.1. Preguntas con respuesta en el corpus</w:t>
        <w:tab/>
        <w:t xml:space="preserve">6</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4.2. Preguntas de abstención</w:t>
        <w:tab/>
        <w:t xml:space="preserve">7</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5. El experimento</w:t>
        <w:tab/>
        <w:t xml:space="preserve">8</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5.1. Diseño</w:t>
        <w:tab/>
        <w:t xml:space="preserve">8</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5.2. Resultados</w:t>
        <w:tab/>
        <w:t xml:space="preserve">8</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5.3. Interpretación</w:t>
        <w:tab/>
        <w:t xml:space="preserve">9</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6. Herramienta elegida y comparación</w:t>
        <w:tab/>
        <w:t xml:space="preserve">9</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7. Sistema de fuentes</w:t>
        <w:tab/>
        <w:t xml:space="preserve">10</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7.1. Tabla de fuentes</w:t>
        <w:tab/>
        <w:t xml:space="preserve">10</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7.2. Tabla de trazabilidad</w:t>
        <w:tab/>
        <w:t xml:space="preserve">10</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8. Protocolo de prompts (v1.0)</w:t>
        <w:tab/>
        <w:t xml:space="preserve">12</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9. Observaciones del análisis y acciones pendientes</w:t>
        <w:tab/>
        <w:t xml:space="preserve">12</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9.1. Observaciones</w:t>
        <w:tab/>
        <w:t xml:space="preserve">13</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9.2. Qué permite concluir el experimento</w:t>
        <w:tab/>
        <w:t xml:space="preserve">14</w:t>
      </w:r>
    </w:p>
    <w:p>
      <w:pPr>
        <w:tabs>
          <w:tab w:val="right" w:pos="9360" w:leader="dot"/>
        </w:tabs>
        <w:spacing w:after="0" w:before="0" w:line="300"/>
        <w:ind w:left="480"/>
      </w:pPr>
      <w:r>
        <w:rPr>
          <w:rFonts w:ascii="Latin Modern Roman" w:cs="Latin Modern Roman" w:eastAsia="Latin Modern Roman" w:hAnsi="Latin Modern Roman"/>
          <w:b w:val="false"/>
          <w:bCs w:val="false"/>
          <w:color w:val="003876"/>
          <w:sz w:val="21"/>
          <w:szCs w:val="21"/>
        </w:rPr>
        <w:t xml:space="preserve">9.3. Acciones pendientes</w:t>
        <w:tab/>
        <w:t xml:space="preserve">14</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10. Declaración del uso de IA</w:t>
        <w:tab/>
        <w:t xml:space="preserve">14</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Referencias</w:t>
        <w:tab/>
        <w:t xml:space="preserve">15</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Anexo A</w:t>
        <w:tab/>
        <w:t xml:space="preserve">16</w:t>
      </w:r>
    </w:p>
    <w:p>
      <w:pPr>
        <w:tabs>
          <w:tab w:val="right" w:pos="9360" w:leader="none"/>
        </w:tabs>
        <w:spacing w:after="0" w:before="70" w:line="300"/>
        <w:ind w:left="0"/>
      </w:pPr>
      <w:r>
        <w:rPr>
          <w:rFonts w:ascii="Latin Modern Roman" w:cs="Latin Modern Roman" w:eastAsia="Latin Modern Roman" w:hAnsi="Latin Modern Roman"/>
          <w:b/>
          <w:bCs/>
          <w:color w:val="003876"/>
          <w:sz w:val="22"/>
          <w:szCs w:val="22"/>
        </w:rPr>
        <w:t xml:space="preserve">Anexo B</w:t>
        <w:tab/>
        <w:t xml:space="preserve">17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03876" w:sz="24"/>
              <w:bottom w:val="none" w:color="FFFFFF" w:sz="0"/>
              <w:right w:val="none" w:color="FFFFFF" w:sz="0"/>
            </w:tcBorders>
            <w:shd w:fill="F2F5F8" w:color="auto" w:val="clear"/>
            <w:tcMar>
              <w:top w:type="dxa" w:w="120"/>
              <w:left w:type="dxa" w:w="200"/>
              <w:bottom w:type="dxa" w:w="80"/>
              <w:right w:type="dxa" w:w="200"/>
            </w:tcMar>
          </w:tcPr>
          <w:p>
            <w:pPr>
              <w:keepNext/>
              <w:spacing w:after="80" w:before="0" w:line="264"/>
            </w:pPr>
            <w:r>
              <w:rPr>
                <w:rFonts w:ascii="Latin Modern Roman" w:cs="Latin Modern Roman" w:eastAsia="Latin Modern Roman" w:hAnsi="Latin Modern Roman"/>
                <w:b/>
                <w:bCs/>
                <w:color w:val="003876"/>
                <w:sz w:val="22"/>
                <w:szCs w:val="22"/>
              </w:rPr>
              <w:t xml:space="preserve">Cómo leer este documento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4100"/>
              <w:gridCol w:w="1660"/>
            </w:tblGrid>
            <w:tr>
              <w:trPr>
                <w:cantSplit/>
                <w:tblHeader/>
              </w:trPr>
              <w:tc>
                <w:tcPr>
                  <w:tcW w:type="dxa" w:w="30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Si usted es…</w:t>
                  </w:r>
                </w:p>
              </w:tc>
              <w:tc>
                <w:tcPr>
                  <w:tcW w:type="dxa" w:w="41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Lea</w:t>
                  </w:r>
                </w:p>
              </w:tc>
              <w:tc>
                <w:tcPr>
                  <w:tcW w:type="dxa" w:w="16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right"/>
                  </w:pPr>
                  <w:r>
                    <w:rPr>
                      <w:rFonts w:ascii="Latin Modern Roman" w:cs="Latin Modern Roman" w:eastAsia="Latin Modern Roman" w:hAnsi="Latin Modern Roman"/>
                      <w:b/>
                      <w:bCs/>
                      <w:color w:val="003876"/>
                      <w:sz w:val="20"/>
                      <w:szCs w:val="20"/>
                    </w:rPr>
                    <w:t xml:space="preserve">Tiempo</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Docente o evaluador</w:t>
                  </w:r>
                </w:p>
              </w:tc>
              <w:tc>
                <w:tcPr>
                  <w:tcW w:type="dxa" w:w="4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Secciones 1, 5 y 9</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right"/>
                  </w:pPr>
                  <w:r>
                    <w:rPr>
                      <w:rFonts w:ascii="Latin Modern Roman" w:cs="Latin Modern Roman" w:eastAsia="Latin Modern Roman" w:hAnsi="Latin Modern Roman"/>
                      <w:sz w:val="20"/>
                      <w:szCs w:val="20"/>
                    </w:rPr>
                    <w:t xml:space="preserve">10 min</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Integrante que usará el sistema de fuentes</w:t>
                  </w:r>
                </w:p>
              </w:tc>
              <w:tc>
                <w:tcPr>
                  <w:tcW w:type="dxa" w:w="4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Secciones 1, 7 y 8</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right"/>
                  </w:pPr>
                  <w:r>
                    <w:rPr>
                      <w:rFonts w:ascii="Latin Modern Roman" w:cs="Latin Modern Roman" w:eastAsia="Latin Modern Roman" w:hAnsi="Latin Modern Roman"/>
                      <w:sz w:val="20"/>
                      <w:szCs w:val="20"/>
                    </w:rPr>
                    <w:t xml:space="preserve">15 min</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Revisor técnico</w:t>
                  </w:r>
                </w:p>
              </w:tc>
              <w:tc>
                <w:tcPr>
                  <w:tcW w:type="dxa" w:w="4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Todo el documento y los anexos</w:t>
                  </w:r>
                </w:p>
              </w:tc>
              <w:tc>
                <w:tcPr>
                  <w:tcW w:type="dxa" w:w="16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right"/>
                  </w:pPr>
                  <w:r>
                    <w:rPr>
                      <w:rFonts w:ascii="Latin Modern Roman" w:cs="Latin Modern Roman" w:eastAsia="Latin Modern Roman" w:hAnsi="Latin Modern Roman"/>
                      <w:sz w:val="20"/>
                      <w:szCs w:val="20"/>
                    </w:rPr>
                    <w:t xml:space="preserve">40 min</w:t>
                  </w:r>
                </w:p>
              </w:tc>
            </w:tr>
            <w:tr>
              <w:trPr>
                <w:cantSplit/>
              </w:trPr>
              <w:tc>
                <w:tcPr>
                  <w:tcW w:type="dxa" w:w="30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Quien retome el proyecto</w:t>
                  </w:r>
                </w:p>
              </w:tc>
              <w:tc>
                <w:tcPr>
                  <w:tcW w:type="dxa" w:w="41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Secciones 9, 7 y 8</w:t>
                  </w:r>
                </w:p>
              </w:tc>
              <w:tc>
                <w:tcPr>
                  <w:tcW w:type="dxa" w:w="16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right"/>
                  </w:pPr>
                  <w:r>
                    <w:rPr>
                      <w:rFonts w:ascii="Latin Modern Roman" w:cs="Latin Modern Roman" w:eastAsia="Latin Modern Roman" w:hAnsi="Latin Modern Roman"/>
                      <w:sz w:val="20"/>
                      <w:szCs w:val="20"/>
                    </w:rPr>
                    <w:t xml:space="preserve">15 min</w:t>
                  </w:r>
                </w:p>
              </w:tc>
            </w:tr>
          </w:tbl>
          <w:p>
            <w:pPr>
              <w:spacing w:after="0" w:before="80"/>
            </w:pPr>
            <w:r>
              <w:rPr>
                <w:rFonts w:ascii="Latin Modern Roman" w:cs="Latin Modern Roman" w:eastAsia="Latin Modern Roman" w:hAnsi="Latin Modern Roman"/>
                <w:sz w:val="18"/>
                <w:szCs w:val="18"/>
              </w:rPr>
              <w:t xml:space="preserve">Los términos técnicos están en el glosario (Anexo A).</w:t>
            </w:r>
          </w:p>
        </w:tc>
      </w:tr>
    </w:tbl>
    <w:p>
      <w:pPr>
        <w:spacing w:after="80" w:before="0" w:line="200"/>
      </w:pP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1. Resumen ejecutivo</w:t>
      </w:r>
    </w:p>
    <w:p>
      <w:pPr>
        <w:spacing w:after="140" w:before="0" w:line="288"/>
        <w:jc w:val="both"/>
      </w:pPr>
      <w:r>
        <w:rPr>
          <w:rFonts w:ascii="Latin Modern Roman" w:cs="Latin Modern Roman" w:eastAsia="Latin Modern Roman" w:hAnsi="Latin Modern Roman"/>
          <w:b/>
          <w:bCs/>
          <w:sz w:val="22"/>
          <w:szCs w:val="22"/>
        </w:rPr>
        <w:t xml:space="preserve">Para qué.</w:t>
      </w:r>
      <w:r>
        <w:rPr>
          <w:rFonts w:ascii="Latin Modern Roman" w:cs="Latin Modern Roman" w:eastAsia="Latin Modern Roman" w:hAnsi="Latin Modern Roman"/>
          <w:sz w:val="22"/>
          <w:szCs w:val="22"/>
        </w:rPr>
        <w:t xml:space="preserve"> La actividad busca que el equipo aprenda a usar sistemas de inteligencia artificial (IA) en consultas bibliográficas sin perder el control de la evidencia: documentar sus fallos, medir cuánto se puede confiar en cada tipo de sistema y dejar un sistema de fuentes que cualquiera pueda verificar. El caso de trabajo es el anteproyecto sobre estenosis lumbar y el conjunto de datos RSNA 2024, en particular su sección «Estado del arte» (diapositivas 7 a 9).</w:t>
      </w:r>
    </w:p>
    <w:p>
      <w:pPr>
        <w:spacing w:after="140" w:before="0" w:line="288"/>
        <w:jc w:val="both"/>
      </w:pPr>
      <w:r>
        <w:rPr>
          <w:rFonts w:ascii="Latin Modern Roman" w:cs="Latin Modern Roman" w:eastAsia="Latin Modern Roman" w:hAnsi="Latin Modern Roman"/>
          <w:b/>
          <w:bCs/>
          <w:sz w:val="22"/>
          <w:szCs w:val="22"/>
        </w:rPr>
        <w:t xml:space="preserve">Qué se hizo.</w:t>
      </w:r>
      <w:r>
        <w:rPr>
          <w:rFonts w:ascii="Latin Modern Roman" w:cs="Latin Modern Roman" w:eastAsia="Latin Modern Roman" w:hAnsi="Latin Modern Roman"/>
          <w:sz w:val="22"/>
          <w:szCs w:val="22"/>
        </w:rPr>
        <w:t xml:space="preserve"> Cada integrante registró al menos tres fallos propios, con lo que se consolidaron seis (Tabla 2). Se armó un banco de 18 preguntas con respuesta localizada en el corpus, cuatro de ellas deliberadamente fuera de él para probar la abstención (Tablas 3 y 4). Se comparó, en dos consultas reales, un chat sin fuentes (A), un buscador con bases reales (B) y un sistema de contexto cerrado, NotebookLM con el corpus del equipo (C); se clasificaron 30 referencias de forma independiente (Tabla 6). Se construyó una tabla de diez fuentes y una de trazabilidad que contrasta ocho afirmaciones de las diapositivas contra los textos reales (Tablas 8 y 9), y se redactó la versión 1.0 del protocolo de prompts (Tabla 10).</w:t>
      </w:r>
    </w:p>
    <w:p>
      <w:pPr>
        <w:spacing w:after="140" w:before="0" w:line="288"/>
        <w:jc w:val="both"/>
      </w:pPr>
      <w:r>
        <w:rPr>
          <w:rFonts w:ascii="Latin Modern Roman" w:cs="Latin Modern Roman" w:eastAsia="Latin Modern Roman" w:hAnsi="Latin Modern Roman"/>
          <w:b/>
          <w:bCs/>
          <w:sz w:val="22"/>
          <w:szCs w:val="22"/>
        </w:rPr>
        <w:t xml:space="preserve">Qué se encontró.</w:t>
      </w:r>
      <w:r>
        <w:rPr>
          <w:rFonts w:ascii="Latin Modern Roman" w:cs="Latin Modern Roman" w:eastAsia="Latin Modern Roman" w:hAnsi="Latin Modern Roman"/>
          <w:sz w:val="22"/>
          <w:szCs w:val="22"/>
        </w:rPr>
        <w:t xml:space="preserve"> Las proporciones de referencias utilizables fueron 100 % (A), 100 % (B) y 90 % (C). El único caso no utilizable fue un fallo real del sistema: NotebookLM citó valores de Miskin et al. (2021) cuando ese PDF todavía no estaba cargado en el notebook. El acuerdo bruto entre clasificadores fue de 93,3 % (28/30). En la trazabilidad, cuatro afirmaciones coinciden con su fuente, una está respaldada por la fuente aunque el sistema falló (8.1), dos quedan pendientes o coinciden solo en parte (7.1 y 7.2) y una fuente se retiró por ser terciaria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A6272E" w:sz="24"/>
              <w:bottom w:val="none" w:color="FFFFFF" w:sz="0"/>
              <w:right w:val="none" w:color="FFFFFF" w:sz="0"/>
            </w:tcBorders>
            <w:shd w:fill="FBF4F5" w:color="auto" w:val="clear"/>
            <w:tcMar>
              <w:top w:type="dxa" w:w="120"/>
              <w:left w:type="dxa" w:w="200"/>
              <w:bottom w:type="dxa" w:w="80"/>
              <w:right w:type="dxa" w:w="200"/>
            </w:tcMar>
          </w:tcPr>
          <w:p>
            <w:pPr>
              <w:keepNext/>
              <w:spacing w:after="80" w:before="0" w:line="264"/>
            </w:pPr>
            <w:r>
              <w:rPr>
                <w:rFonts w:ascii="Latin Modern Roman" w:cs="Latin Modern Roman" w:eastAsia="Latin Modern Roman" w:hAnsi="Latin Modern Roman"/>
                <w:b/>
                <w:bCs/>
                <w:color w:val="A6272E"/>
                <w:sz w:val="22"/>
                <w:szCs w:val="22"/>
              </w:rPr>
              <w:t xml:space="preserve">Qué no está garantizado (detalle en la Sección 9).</w:t>
            </w:r>
          </w:p>
          <w:p>
            <w:pPr>
              <w:spacing w:after="80" w:before="0" w:line="264"/>
              <w:jc w:val="both"/>
            </w:pPr>
            <w:r>
              <w:rPr>
                <w:rFonts w:ascii="Latin Modern Roman" w:cs="Latin Modern Roman" w:eastAsia="Latin Modern Roman" w:hAnsi="Latin Modern Roman"/>
                <w:sz w:val="21"/>
                <w:szCs w:val="21"/>
              </w:rPr>
              <w:t xml:space="preserve">Con diez referencias por tratamiento y un solo caso negativo, el experimento no permite afirmar que un sistema sea mejor que otro; los intervalos de confianza se solapan casi por completo. Además, el análisis de este documento identificó diez observaciones (Sección 9); las más importantes son que el kappa reportado solo es aritméticamente compatible con que cada integrante marcara una referencia distinta como no utilizable, que el criterio «utilizable» no está definido operativamente y que solo una de las cuatro preguntas de abstención se ha probado.</w:t>
            </w:r>
          </w:p>
        </w:tc>
      </w:tr>
    </w:tbl>
    <w:p>
      <w:pPr>
        <w:spacing w:after="80" w:before="0" w:line="200"/>
      </w:pPr>
    </w:p>
    <w:p>
      <w:pPr>
        <w:keepNext/>
        <w:spacing w:after="100" w:before="200" w:line="264"/>
      </w:pPr>
      <w:r>
        <w:rPr>
          <w:rFonts w:ascii="Latin Modern Roman" w:cs="Latin Modern Roman" w:eastAsia="Latin Modern Roman" w:hAnsi="Latin Modern Roman"/>
          <w:b/>
          <w:bCs/>
          <w:color w:val="003876"/>
          <w:sz w:val="20"/>
          <w:szCs w:val="20"/>
        </w:rPr>
        <w:t xml:space="preserve">Tabla 1. </w:t>
      </w:r>
      <w:r>
        <w:rPr>
          <w:rFonts w:ascii="Latin Modern Roman" w:cs="Latin Modern Roman" w:eastAsia="Latin Modern Roman" w:hAnsi="Latin Modern Roman"/>
          <w:sz w:val="20"/>
          <w:szCs w:val="20"/>
        </w:rPr>
        <w:t xml:space="preserve">Cifras principales de la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Indicador</w:t>
            </w:r>
          </w:p>
        </w:tc>
        <w:tc>
          <w:tcPr>
            <w:tcW w:type="dxa" w:w="41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Valor</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Fallos documentados</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6 (3 por integrante)</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Preguntas del banco de evaluación</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18 (14 con respuesta; 4 de abstención)</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Preguntas de abstención ya probadas</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4 de 4</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Referencias clasificadas</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30 (5 por tratamiento y consulta)</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Acuerdo bruto entre clasificadores</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93,3 % (28/30)</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 de Cohen global</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κ = −,0345 (p = ,85)</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Proporción utilizable, tratamiento A</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100 % (10/10)</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Proporción utilizable, tratamiento B</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100 % (10/10)</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Proporción utilizable, tratamiento C</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90 % (9/10); IC 95 % [,596; ,982]</w:t>
            </w:r>
          </w:p>
        </w:tc>
      </w:tr>
      <w:tr>
        <w:trPr>
          <w:cantSplit/>
        </w:trPr>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Fuentes del corpus</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w:t>
            </w:r>
          </w:p>
        </w:tc>
      </w:tr>
      <w:tr>
        <w:trPr>
          <w:cantSplit/>
        </w:trPr>
        <w:tc>
          <w:tcPr>
            <w:tcW w:type="dxa" w:w="52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Afirmaciones de las diapositivas 7 a 9 trazadas</w:t>
            </w:r>
          </w:p>
        </w:tc>
        <w:tc>
          <w:tcPr>
            <w:tcW w:type="dxa" w:w="41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8</w:t>
            </w:r>
          </w:p>
        </w:tc>
      </w:tr>
    </w:tbl>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IC = intervalo de confianza de Wilson. Los intervalos se recalcularon durante el análisis y coinciden con los reportados.</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2. Contexto y alcance</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2.1. El propósito manda</w:t>
      </w:r>
    </w:p>
    <w:p>
      <w:pPr>
        <w:spacing w:after="140" w:before="0" w:line="288"/>
        <w:jc w:val="both"/>
      </w:pPr>
      <w:r>
        <w:rPr>
          <w:rFonts w:ascii="Latin Modern Roman" w:cs="Latin Modern Roman" w:eastAsia="Latin Modern Roman" w:hAnsi="Latin Modern Roman"/>
          <w:sz w:val="22"/>
          <w:szCs w:val="22"/>
        </w:rPr>
        <w:t xml:space="preserve">Un sistema de IA puede entregar referencias que suenan correctas y no existen, o atribuir a un artículo valores que no contiene. Por eso la regla que organiza la actividad es que ninguna afirmación del anteproyecto se acepta sin una fuente real, localizada y cotejada contra su contenido. La actividad produce tres cosas: un inventario de fallos (qué salió mal y cuánto costó), una evaluación comparada de tres tipos de sistema y un sistema de fuentes con trazabilidad afirmación por afirmación.</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2.2. Equipo y herramientas</w:t>
      </w:r>
    </w:p>
    <w:p>
      <w:pPr>
        <w:spacing w:after="140" w:before="0" w:line="288"/>
        <w:jc w:val="both"/>
      </w:pPr>
      <w:r>
        <w:rPr>
          <w:rFonts w:ascii="Latin Modern Roman" w:cs="Latin Modern Roman" w:eastAsia="Latin Modern Roman" w:hAnsi="Latin Modern Roman"/>
          <w:sz w:val="22"/>
          <w:szCs w:val="22"/>
        </w:rPr>
        <w:t xml:space="preserve">El equipo lo integran Juan David Cacua y Camilo Velandia. Juan David trabajó con Gemini 3.6 Flash y Camilo con Claude. Para el tratamiento de contexto cerrado se usó NotebookLM con el corpus de PDF del proyecto. La declaración completa del uso de IA está en la Sección 10.</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2.3. Marco de referencia</w:t>
      </w:r>
    </w:p>
    <w:p>
      <w:pPr>
        <w:spacing w:after="140" w:before="0" w:line="288"/>
        <w:jc w:val="both"/>
      </w:pPr>
      <w:r>
        <w:rPr>
          <w:rFonts w:ascii="Latin Modern Roman" w:cs="Latin Modern Roman" w:eastAsia="Latin Modern Roman" w:hAnsi="Latin Modern Roman"/>
          <w:sz w:val="22"/>
          <w:szCs w:val="22"/>
        </w:rPr>
        <w:t xml:space="preserve">Un sistema de contexto cerrado limita sus respuestas a los documentos que el usuario le carga y, en principio, debe citar con localización exacta dentro de ellos; un sistema abierto responde con conocimiento general o busca en la web. Ambos pueden fallar, pero de maneras distintas: el abierto puede inventar o deformar referencias, y el cerrado puede citar un documento que no está cargado o afirmar algo que el texto no dice. De ahí dos principios que recorren el documento: toda cita se verifica contra el PDF real, y no encontrar algo no equivale a confirmar que no existe.</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3. Inventario de fallos</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3.1. Qué se registró</w:t>
      </w:r>
    </w:p>
    <w:p>
      <w:pPr>
        <w:spacing w:after="140" w:before="0" w:line="288"/>
        <w:jc w:val="both"/>
      </w:pPr>
      <w:r>
        <w:rPr>
          <w:rFonts w:ascii="Latin Modern Roman" w:cs="Latin Modern Roman" w:eastAsia="Latin Modern Roman" w:hAnsi="Latin Modern Roman"/>
          <w:sz w:val="22"/>
          <w:szCs w:val="22"/>
        </w:rPr>
        <w:t xml:space="preserve">La Tabla 2 consolida los inventarios individuales. Cada integrante documentó al menos tres fallos detectados de forma independiente, y el conjunto cubre código, método estadístico, bibliografía, formato de cita y un fallo del propio sistema de contexto cerrado.</w:t>
      </w:r>
    </w:p>
    <w:p>
      <w:pPr>
        <w:keepNext/>
        <w:spacing w:after="100" w:before="200" w:line="264"/>
      </w:pPr>
      <w:r>
        <w:rPr>
          <w:rFonts w:ascii="Latin Modern Roman" w:cs="Latin Modern Roman" w:eastAsia="Latin Modern Roman" w:hAnsi="Latin Modern Roman"/>
          <w:b/>
          <w:bCs/>
          <w:color w:val="003876"/>
          <w:sz w:val="20"/>
          <w:szCs w:val="20"/>
        </w:rPr>
        <w:t xml:space="preserve">Tabla 2. </w:t>
      </w:r>
      <w:r>
        <w:rPr>
          <w:rFonts w:ascii="Latin Modern Roman" w:cs="Latin Modern Roman" w:eastAsia="Latin Modern Roman" w:hAnsi="Latin Modern Roman"/>
          <w:sz w:val="20"/>
          <w:szCs w:val="20"/>
        </w:rPr>
        <w:t xml:space="preserve">Inventario consolidado de fallos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50"/>
        <w:gridCol w:w="1150"/>
        <w:gridCol w:w="1400"/>
        <w:gridCol w:w="1600"/>
        <w:gridCol w:w="3000"/>
      </w:tblGrid>
      <w:tr>
        <w:trPr>
          <w:cantSplit/>
          <w:tblHeader/>
        </w:trPr>
        <w:tc>
          <w:tcPr>
            <w:tcW w:type="dxa" w:w="3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w:t>
            </w:r>
          </w:p>
        </w:tc>
        <w:tc>
          <w:tcPr>
            <w:tcW w:type="dxa" w:w="18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Fallo</w:t>
            </w:r>
          </w:p>
        </w:tc>
        <w:tc>
          <w:tcPr>
            <w:tcW w:type="dxa" w:w="11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Autor</w:t>
            </w:r>
          </w:p>
        </w:tc>
        <w:tc>
          <w:tcPr>
            <w:tcW w:type="dxa" w:w="14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Tipo</w:t>
            </w:r>
          </w:p>
        </w:tc>
        <w:tc>
          <w:tcPr>
            <w:tcW w:type="dxa" w:w="16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Costo</w:t>
            </w:r>
          </w:p>
        </w:tc>
        <w:tc>
          <w:tcPr>
            <w:tcW w:type="dxa" w:w="30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Qué lo habría evitado</w:t>
            </w:r>
          </w:p>
        </w:tc>
      </w:tr>
      <w:tr>
        <w:trPr>
          <w:cantSplit/>
        </w:trPr>
        <w:tc>
          <w:tcPr>
            <w:tcW w:type="dxa" w:w="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w:t>
            </w:r>
          </w:p>
        </w:tc>
        <w:tc>
          <w:tcPr>
            <w:tcW w:type="dxa" w:w="1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Función de R mal caracterizada (tidy)</w:t>
            </w:r>
          </w:p>
        </w:tc>
        <w:tc>
          <w:tcPr>
            <w:tcW w:type="dxa" w:w="1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Juan David</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Código / herramienta</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Tiempo y ajuste manual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Preparar mejor el agente y darle más contexto</w:t>
            </w:r>
          </w:p>
        </w:tc>
      </w:tr>
      <w:tr>
        <w:trPr>
          <w:cantSplit/>
        </w:trPr>
        <w:tc>
          <w:tcPr>
            <w:tcW w:type="dxa" w:w="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w:t>
            </w:r>
          </w:p>
        </w:tc>
        <w:tc>
          <w:tcPr>
            <w:tcW w:type="dxa" w:w="1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Regresión politómica en vez de ordinal</w:t>
            </w:r>
          </w:p>
        </w:tc>
        <w:tc>
          <w:tcPr>
            <w:tcW w:type="dxa" w:w="1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Juan David</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Conceptual / estadístico</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Tiempo de revisión conceptual y cambio de método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Preparar mejor al agente para este tipo de procesos</w:t>
            </w:r>
          </w:p>
        </w:tc>
      </w:tr>
      <w:tr>
        <w:trPr>
          <w:cantSplit/>
        </w:trPr>
        <w:tc>
          <w:tcPr>
            <w:tcW w:type="dxa" w:w="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3</w:t>
            </w:r>
          </w:p>
        </w:tc>
        <w:tc>
          <w:tcPr>
            <w:tcW w:type="dxa" w:w="1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Orden de factores en un gráfico</w:t>
            </w:r>
          </w:p>
        </w:tc>
        <w:tc>
          <w:tcPr>
            <w:tcW w:type="dxa" w:w="1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Juan David</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Código (menor)</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Tiempo al modificar los factores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Especificar al agente el orden de los niveles</w:t>
            </w:r>
          </w:p>
        </w:tc>
      </w:tr>
      <w:tr>
        <w:trPr>
          <w:cantSplit/>
        </w:trPr>
        <w:tc>
          <w:tcPr>
            <w:tcW w:type="dxa" w:w="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4</w:t>
            </w:r>
          </w:p>
        </w:tc>
        <w:tc>
          <w:tcPr>
            <w:tcW w:type="dxa" w:w="1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Trento citado bajo la cita de Abdelrahman (PDF equivocado en el repositorio)</w:t>
            </w:r>
          </w:p>
        </w:tc>
        <w:tc>
          <w:tcPr>
            <w:tcW w:type="dxa" w:w="1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Camilo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Cita bibliográfica (archivo mal vinculado)</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Tiempo de revisión de toda la bibliografía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Verificar cada PDF contra su cita al guardarlo en el repositorio</w:t>
            </w:r>
          </w:p>
        </w:tc>
      </w:tr>
      <w:tr>
        <w:trPr>
          <w:cantSplit/>
        </w:trPr>
        <w:tc>
          <w:tcPr>
            <w:tcW w:type="dxa" w:w="3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w:t>
            </w:r>
          </w:p>
        </w:tc>
        <w:tc>
          <w:tcPr>
            <w:tcW w:type="dxa" w:w="18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Tres referencias con nombres de autores no occidentales mal formateados (Walsh/Lee, </w:t>
            </w:r>
            <w:r>
              <w:rPr>
                <w:rFonts w:ascii="Latin Modern Roman" w:cs="Latin Modern Roman" w:eastAsia="Latin Modern Roman" w:hAnsi="Latin Modern Roman"/>
                <w:i/>
                <w:iCs/>
                <w:sz w:val="20"/>
                <w:szCs w:val="20"/>
              </w:rPr>
              <w:t xml:space="preserve">Beyond Accuracy</w:t>
            </w:r>
            <w:r>
              <w:rPr>
                <w:rFonts w:ascii="Latin Modern Roman" w:cs="Latin Modern Roman" w:eastAsia="Latin Modern Roman" w:hAnsi="Latin Modern Roman"/>
                <w:sz w:val="20"/>
                <w:szCs w:val="20"/>
              </w:rPr>
              <w:t xml:space="preserve">, Xin Yi/Cai)</w:t>
            </w:r>
          </w:p>
        </w:tc>
        <w:tc>
          <w:tcPr>
            <w:tcW w:type="dxa" w:w="1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Camilo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Formato de cita</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Tiempo acumulado y revisión</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Copiar los nombres directamente desde la página oficial del artículo</w:t>
            </w:r>
          </w:p>
        </w:tc>
      </w:tr>
      <w:tr>
        <w:trPr>
          <w:cantSplit/>
        </w:trPr>
        <w:tc>
          <w:tcPr>
            <w:tcW w:type="dxa" w:w="3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6</w:t>
            </w:r>
          </w:p>
        </w:tc>
        <w:tc>
          <w:tcPr>
            <w:tcW w:type="dxa" w:w="18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NotebookLM citó a Miskin et al. sin que ese PDF estuviera en el corpus subido al momento de la consulta</w:t>
            </w:r>
          </w:p>
        </w:tc>
        <w:tc>
          <w:tcPr>
            <w:tcW w:type="dxa" w:w="11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Camilo</w:t>
            </w:r>
          </w:p>
        </w:tc>
        <w:tc>
          <w:tcPr>
            <w:tcW w:type="dxa" w:w="14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Fallo del sistema de contexto cerrado</w:t>
            </w:r>
          </w:p>
        </w:tc>
        <w:tc>
          <w:tcPr>
            <w:tcW w:type="dxa" w:w="16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Tiempo de búsqueda en los PDF</w:t>
            </w:r>
          </w:p>
        </w:tc>
        <w:tc>
          <w:tcPr>
            <w:tcW w:type="dxa" w:w="30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Llevar un registro exacto de qué documentos estaban cargados en el notebook</w:t>
            </w:r>
          </w:p>
        </w:tc>
      </w:tr>
    </w:tbl>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Herramientas: Gemini 3.6 Flash (Juan David) y Claude (Camilo).</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3.2. Qué enseña el inventario</w:t>
      </w:r>
    </w:p>
    <w:p>
      <w:pPr>
        <w:spacing w:after="140" w:before="0" w:line="288"/>
        <w:jc w:val="both"/>
      </w:pPr>
      <w:r>
        <w:rPr>
          <w:rFonts w:ascii="Latin Modern Roman" w:cs="Latin Modern Roman" w:eastAsia="Latin Modern Roman" w:hAnsi="Latin Modern Roman"/>
          <w:sz w:val="22"/>
          <w:szCs w:val="22"/>
        </w:rPr>
        <w:t xml:space="preserve">Los tres fallos de Juan David tienen una causa común: el agente no estaba preparado con el contexto suficiente para la tarea estadística. Los de Camilo se concentran en la gestión bibliográfica y comparten otra: la verificación llegó tarde, cuando ya se habían acumulado errores. En ambos casos el costo principal fue tiempo, y la medida preventiva se puede aplicar en el punto de captura (contrastar el PDF con su cita al guardarlo, copiar autores desde la página oficial, registrar qué se cargó en cada notebook). El fallo 6 es el más instructivo porque proviene de la herramienta, no de una persona: el equipo lo detectó al buscar en los PDF un valor que el sistema atribuía a un artículo ausente, y de ahí la lección de que no encontrar algo no es lo mismo que confirmar que no existe.</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4. Banco de preguntas de evaluación</w:t>
      </w:r>
    </w:p>
    <w:p>
      <w:pPr>
        <w:spacing w:after="140" w:before="0" w:line="288"/>
        <w:jc w:val="both"/>
      </w:pPr>
      <w:r>
        <w:rPr>
          <w:rFonts w:ascii="Latin Modern Roman" w:cs="Latin Modern Roman" w:eastAsia="Latin Modern Roman" w:hAnsi="Latin Modern Roman"/>
          <w:sz w:val="22"/>
          <w:szCs w:val="22"/>
        </w:rPr>
        <w:t xml:space="preserve">El banco tiene 18 preguntas con respuesta conocida y ubicada en documento y página del corpus. Las últimas cuatro están fuera del corpus a propósito, para comprobar si el sistema se abstiene o inventa. Cada respuesta esperada se verificó contra el documento (Tabla 3); en la pregunta 2.1 la verificación fue por búsqueda directa al artículo.</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4.1. Preguntas con respuesta en el corpus</w:t>
      </w:r>
    </w:p>
    <w:p>
      <w:pPr>
        <w:keepNext/>
        <w:spacing w:after="100" w:before="200" w:line="264"/>
      </w:pPr>
      <w:r>
        <w:rPr>
          <w:rFonts w:ascii="Latin Modern Roman" w:cs="Latin Modern Roman" w:eastAsia="Latin Modern Roman" w:hAnsi="Latin Modern Roman"/>
          <w:b/>
          <w:bCs/>
          <w:color w:val="003876"/>
          <w:sz w:val="20"/>
          <w:szCs w:val="20"/>
        </w:rPr>
        <w:t xml:space="preserve">Tabla 3. </w:t>
      </w:r>
      <w:r>
        <w:rPr>
          <w:rFonts w:ascii="Latin Modern Roman" w:cs="Latin Modern Roman" w:eastAsia="Latin Modern Roman" w:hAnsi="Latin Modern Roman"/>
          <w:sz w:val="20"/>
          <w:szCs w:val="20"/>
        </w:rPr>
        <w:t xml:space="preserve">Preguntas con respuesta en el corpus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4140"/>
        <w:gridCol w:w="2800"/>
      </w:tblGrid>
      <w:tr>
        <w:trPr>
          <w:cantSplit/>
          <w:tblHeader/>
        </w:trPr>
        <w:tc>
          <w:tcPr>
            <w:tcW w:type="dxa" w:w="52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w:t>
            </w:r>
          </w:p>
        </w:tc>
        <w:tc>
          <w:tcPr>
            <w:tcW w:type="dxa" w:w="19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Tema</w:t>
            </w:r>
          </w:p>
        </w:tc>
        <w:tc>
          <w:tcPr>
            <w:tcW w:type="dxa" w:w="414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Respuesta esperada</w:t>
            </w:r>
          </w:p>
        </w:tc>
        <w:tc>
          <w:tcPr>
            <w:tcW w:type="dxa" w:w="28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Fuente y ubicación</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Tamaño de LumbarDISC</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2.697 pacientes, 8.593 series de imágenes, 8 instituciones, 6 países, 5 continentes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Richards et al. (2026)</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2.2</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Escala de severidad</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Se fusionaron «Normal» y «Leve» para aumentar el consenso entre anotadores; quedan Normal/Leve, Moderada y Severa</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Richards et al. (2026), líneas 175 y 528-529 del texto extraído</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2.3</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Institución colombiana</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Fundación Santa Fe de Bogotá; especialista: Dra. Angela Guarnizo Capera</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Richards et al. (2026), línea 92 del texto extraído</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 de estenosis del canal, RM vs. MRM</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De moderado (κ = ,40) con RM sola a bueno (κ = ,60) con mielografía por RM</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Al-Tameemi et al. (2017), Tabla 2, pp. 200-201</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2.5</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 radiólogo–neurocirujano</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No mejoró de forma significativa al agregar MRM: se mantuvo bajo (κ = ,33 a ,38)</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Al-Tameemi et al. (2017), Tabla 2, p. 201</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2.6</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Muestra de Al-Tameemi et al.</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30 pacientes y 150 niveles de disco intervertebral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Al-Tameemi et al. (2017), pp. 198-199</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2.7</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Mejor arquitectura para estenosis del canal</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ViT-L/16, con 92,41 % de precisión de validación (la más alta de las 5 condiciones)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Trînc et al. (2026), tabla de resultados</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2.8</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Métrica CLOA</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Crédito completo a aciertos exactos, parcial a errores adyacentes y cero a diferencias de dos grados; 95,79 % en estenosis del canal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Trînc et al. (2026)</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2.9</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Factores de riesgo de la estenosis lumbar</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Obesidad, tabaquismo y factores genéticos no esclarecidos; la edad es el factor más importante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Bagley et al. (2019), resumen e introducción, pp. 1-3</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2.10</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Evidencia de nivel I</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No hay recomendaciones de nivel I por falta de evidencia concluyente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Bagley et al. (2019), resumen, p. 1</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2.11</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Modelo M-SCAN</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Modelo multietapa que combina vistas sagitales y axiales con atención cruzada; AUROC de ,971 sobre 1.975 estudios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Citado en Trînc et al. (2026); original: Batra et al. (2025), arXiv:2503.01634</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2.12</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Estudio de Xin Yi/Cai</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Estudio de elementos finitos sobre el efecto biomecánico de la degeneración del disco L4-L5 en la columna lumbar inferior</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Cai et al. (2020), título y resumen</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2.13</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Kappas de Miskin et al.</w:t>
            </w:r>
          </w:p>
        </w:tc>
        <w:tc>
          <w:tcPr>
            <w:tcW w:type="dxa" w:w="41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κ = ,702 (canal central), ,544 (foraminal), ,557 (artropatía facetaria) y ,323 (receso lateral/subarticular)</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Miskin et al. (2021)</w:t>
            </w:r>
          </w:p>
        </w:tc>
      </w:tr>
      <w:tr>
        <w:trPr>
          <w:cantSplit/>
        </w:trPr>
        <w:tc>
          <w:tcPr>
            <w:tcW w:type="dxa" w:w="52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2.14</w:t>
            </w:r>
          </w:p>
        </w:tc>
        <w:tc>
          <w:tcPr>
            <w:tcW w:type="dxa" w:w="19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Paradigmas de IA</w:t>
            </w:r>
          </w:p>
        </w:tc>
        <w:tc>
          <w:tcPr>
            <w:tcW w:type="dxa" w:w="414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Modelos híbridos, cascadas multietapa, fusión cross-modal y ensambles; Dice superior a ,90 y AUC de hasta ,98</w:t>
            </w:r>
          </w:p>
        </w:tc>
        <w:tc>
          <w:tcPr>
            <w:tcW w:type="dxa" w:w="28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Abdelrahman et al. (2026)</w:t>
            </w:r>
          </w:p>
        </w:tc>
      </w:tr>
    </w:tbl>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RM = resonancia magnética; MRM = mielografía por resonancia magnética.</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4.2. Preguntas de abstención</w:t>
      </w:r>
    </w:p>
    <w:p>
      <w:pPr>
        <w:spacing w:after="140" w:before="0" w:line="288"/>
        <w:jc w:val="both"/>
      </w:pPr>
      <w:r>
        <w:rPr>
          <w:rFonts w:ascii="Latin Modern Roman" w:cs="Latin Modern Roman" w:eastAsia="Latin Modern Roman" w:hAnsi="Latin Modern Roman"/>
          <w:sz w:val="22"/>
          <w:szCs w:val="22"/>
        </w:rPr>
        <w:t xml:space="preserve">Estas preguntas no tienen respuesta en el corpus. El comportamiento correcto es declarar que la información no está en las fuentes. Las cuatro ya se probaron, con abstención o calificación correcta en todas.</w:t>
      </w:r>
    </w:p>
    <w:p>
      <w:pPr>
        <w:keepNext/>
        <w:spacing w:after="100" w:before="200" w:line="264"/>
      </w:pPr>
      <w:r>
        <w:rPr>
          <w:rFonts w:ascii="Latin Modern Roman" w:cs="Latin Modern Roman" w:eastAsia="Latin Modern Roman" w:hAnsi="Latin Modern Roman"/>
          <w:b/>
          <w:bCs/>
          <w:color w:val="003876"/>
          <w:sz w:val="20"/>
          <w:szCs w:val="20"/>
        </w:rPr>
        <w:t xml:space="preserve">Tabla 4. </w:t>
      </w:r>
      <w:r>
        <w:rPr>
          <w:rFonts w:ascii="Latin Modern Roman" w:cs="Latin Modern Roman" w:eastAsia="Latin Modern Roman" w:hAnsi="Latin Modern Roman"/>
          <w:sz w:val="20"/>
          <w:szCs w:val="20"/>
        </w:rPr>
        <w:t xml:space="preserve">Preguntas de abstención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3640"/>
        <w:gridCol w:w="2200"/>
      </w:tblGrid>
      <w:tr>
        <w:trPr>
          <w:cantSplit/>
          <w:tblHeader/>
        </w:trPr>
        <w:tc>
          <w:tcPr>
            <w:tcW w:type="dxa" w:w="52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w:t>
            </w:r>
          </w:p>
        </w:tc>
        <w:tc>
          <w:tcPr>
            <w:tcW w:type="dxa" w:w="30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Pregunta</w:t>
            </w:r>
          </w:p>
        </w:tc>
        <w:tc>
          <w:tcPr>
            <w:tcW w:type="dxa" w:w="364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Comportamiento esperado del sistema</w:t>
            </w:r>
          </w:p>
        </w:tc>
        <w:tc>
          <w:tcPr>
            <w:tcW w:type="dxa" w:w="22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Estado</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2.15</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Prevalencia de la espondilolistesis degenerativa en población colombiana</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Decir explícitamente que no está en las fuentes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Probada: NotebookLM se abstuvo y no inventó una cifra</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2.16</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Primer lugar de la competencia Kaggle RSNA 2024 y su puntaje</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Abstenerse: ninguno de los 10 documentos del corpus reporta la tabla de posiciones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Probada: abstención correcta, sin inventar equipo ni puntaje</w:t>
            </w:r>
          </w:p>
        </w:tc>
      </w:tr>
      <w:tr>
        <w:trPr>
          <w:cantSplit/>
        </w:trPr>
        <w:tc>
          <w:tcPr>
            <w:tcW w:type="dxa" w:w="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2.17</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Tratamiento de primera línea para estenosis leve según la guía NASS de 2013</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Abstenerse o aclarar que solo hay menciones indirectas dentro de Bagley et al. (2019)</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Probada: abstención correcta, con el matiz de aclarar que solo hay cita indirecta vía Kreiner et al. (2013) dentro de Bagley et al.</w:t>
            </w:r>
          </w:p>
        </w:tc>
      </w:tr>
      <w:tr>
        <w:trPr>
          <w:cantSplit/>
        </w:trPr>
        <w:tc>
          <w:tcPr>
            <w:tcW w:type="dxa" w:w="52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2.18</w:t>
            </w:r>
          </w:p>
        </w:tc>
        <w:tc>
          <w:tcPr>
            <w:tcW w:type="dxa" w:w="30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Costo promedio de una cirugía de descompresión lumbar en Colombia</w:t>
            </w:r>
          </w:p>
        </w:tc>
        <w:tc>
          <w:tcPr>
            <w:tcW w:type="dxa" w:w="364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Abstenerse: ningún documento trata costos ni el sistema de salud colombiano (Bagley et al. menciona costos en EE. UU.)</w:t>
            </w:r>
          </w:p>
        </w:tc>
        <w:tc>
          <w:tcPr>
            <w:tcW w:type="dxa" w:w="22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Probada: abstención correcta, sin mezclar la cifra de EE. UU. de Bagley et al. con Colombia</w:t>
            </w:r>
          </w:p>
        </w:tc>
      </w:tr>
    </w:tbl>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NASS = North American Spine Society.</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5. El experimento</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5.1. Diseño</w:t>
      </w:r>
    </w:p>
    <w:p>
      <w:pPr>
        <w:spacing w:after="140" w:before="0" w:line="288"/>
        <w:jc w:val="both"/>
      </w:pPr>
      <w:r>
        <w:rPr>
          <w:rFonts w:ascii="Latin Modern Roman" w:cs="Latin Modern Roman" w:eastAsia="Latin Modern Roman" w:hAnsi="Latin Modern Roman"/>
          <w:sz w:val="22"/>
          <w:szCs w:val="22"/>
        </w:rPr>
        <w:t xml:space="preserve">Se compararon tres tratamientos (Tabla 5) sobre dos consultas bibliográficas reales del área del proyecto: acuerdo interobservador en estenosis lumbar y modelos de aprendizaje profundo sobre el conjunto RSNA 2024. Se clasificaron 30 referencias en total, cinco por tratamiento y consulta, y cada una la clasificaron los dos integrantes de forma independiente como utilizable o no utilizable.</w:t>
      </w:r>
    </w:p>
    <w:p>
      <w:pPr>
        <w:keepNext/>
        <w:spacing w:after="100" w:before="200" w:line="264"/>
      </w:pPr>
      <w:r>
        <w:rPr>
          <w:rFonts w:ascii="Latin Modern Roman" w:cs="Latin Modern Roman" w:eastAsia="Latin Modern Roman" w:hAnsi="Latin Modern Roman"/>
          <w:b/>
          <w:bCs/>
          <w:color w:val="003876"/>
          <w:sz w:val="20"/>
          <w:szCs w:val="20"/>
        </w:rPr>
        <w:t xml:space="preserve">Tabla 5. </w:t>
      </w:r>
      <w:r>
        <w:rPr>
          <w:rFonts w:ascii="Latin Modern Roman" w:cs="Latin Modern Roman" w:eastAsia="Latin Modern Roman" w:hAnsi="Latin Modern Roman"/>
          <w:sz w:val="20"/>
          <w:szCs w:val="20"/>
        </w:rPr>
        <w:t xml:space="preserve">Tratamientos del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5160"/>
        <w:gridCol w:w="2650"/>
      </w:tblGrid>
      <w:tr>
        <w:trPr>
          <w:cantSplit/>
          <w:tblHeader/>
        </w:trPr>
        <w:tc>
          <w:tcPr>
            <w:tcW w:type="dxa" w:w="15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Tratamiento</w:t>
            </w:r>
          </w:p>
        </w:tc>
        <w:tc>
          <w:tcPr>
            <w:tcW w:type="dxa" w:w="51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Descripción</w:t>
            </w:r>
          </w:p>
        </w:tc>
        <w:tc>
          <w:tcPr>
            <w:tcW w:type="dxa" w:w="26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Referencias clasificadas</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Chat sin fuentes (control)</w:t>
            </w:r>
          </w:p>
        </w:tc>
        <w:tc>
          <w:tcPr>
            <w:tcW w:type="dxa" w:w="2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 (5 por consulta)</w:t>
            </w:r>
          </w:p>
        </w:tc>
      </w:tr>
      <w:tr>
        <w:trPr>
          <w:cantSplit/>
        </w:trPr>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w:t>
            </w:r>
          </w:p>
        </w:tc>
        <w:tc>
          <w:tcPr>
            <w:tcW w:type="dxa" w:w="5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Buscador con bases de datos reales</w:t>
            </w:r>
          </w:p>
        </w:tc>
        <w:tc>
          <w:tcPr>
            <w:tcW w:type="dxa" w:w="26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 (5 por consulta)</w:t>
            </w:r>
          </w:p>
        </w:tc>
      </w:tr>
      <w:tr>
        <w:trPr>
          <w:cantSplit/>
        </w:trPr>
        <w:tc>
          <w:tcPr>
            <w:tcW w:type="dxa" w:w="15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w:t>
            </w:r>
          </w:p>
        </w:tc>
        <w:tc>
          <w:tcPr>
            <w:tcW w:type="dxa" w:w="51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Contexto cerrado: NotebookLM con el corpus del equipo</w:t>
            </w:r>
          </w:p>
        </w:tc>
        <w:tc>
          <w:tcPr>
            <w:tcW w:type="dxa" w:w="26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 (5 por consulta)</w:t>
            </w:r>
          </w:p>
        </w:tc>
      </w:tr>
    </w:tbl>
    <w:p>
      <w:pPr>
        <w:spacing w:after="0" w:before="0" w:line="200"/>
      </w:pPr>
    </w:p>
    <w:p>
      <w:pPr>
        <w:pStyle w:val="Heading2"/>
        <w:keepNext/>
        <w:spacing w:after="100" w:before="240" w:line="288"/>
      </w:pPr>
      <w:r>
        <w:rPr>
          <w:rFonts w:ascii="Latin Modern Roman" w:cs="Latin Modern Roman" w:eastAsia="Latin Modern Roman" w:hAnsi="Latin Modern Roman"/>
          <w:b/>
          <w:bCs/>
          <w:color w:val="003876"/>
          <w:sz w:val="24"/>
          <w:szCs w:val="24"/>
        </w:rPr>
        <w:t xml:space="preserve">5.2. Resultados</w:t>
      </w:r>
    </w:p>
    <w:p>
      <w:pPr>
        <w:spacing w:after="140" w:before="0" w:line="288"/>
        <w:jc w:val="both"/>
      </w:pPr>
      <w:r>
        <w:rPr>
          <w:rFonts w:ascii="Latin Modern Roman" w:cs="Latin Modern Roman" w:eastAsia="Latin Modern Roman" w:hAnsi="Latin Modern Roman"/>
          <w:sz w:val="22"/>
          <w:szCs w:val="22"/>
        </w:rPr>
        <w:t xml:space="preserve">El acuerdo bruto entre clasificadores fue de 93,3 % (28/30). El kappa de Cohen global fue de −,0345 (p = ,85). Las proporciones utilizables y sus intervalos de Wilson al 95 % se presentan en la Tabla 6 y en la Figura 1.</w:t>
      </w:r>
    </w:p>
    <w:p>
      <w:pPr>
        <w:keepNext/>
        <w:spacing w:after="100" w:before="200" w:line="264"/>
      </w:pPr>
      <w:r>
        <w:rPr>
          <w:rFonts w:ascii="Latin Modern Roman" w:cs="Latin Modern Roman" w:eastAsia="Latin Modern Roman" w:hAnsi="Latin Modern Roman"/>
          <w:b/>
          <w:bCs/>
          <w:color w:val="003876"/>
          <w:sz w:val="20"/>
          <w:szCs w:val="20"/>
        </w:rPr>
        <w:t xml:space="preserve">Tabla 6. </w:t>
      </w:r>
      <w:r>
        <w:rPr>
          <w:rFonts w:ascii="Latin Modern Roman" w:cs="Latin Modern Roman" w:eastAsia="Latin Modern Roman" w:hAnsi="Latin Modern Roman"/>
          <w:sz w:val="20"/>
          <w:szCs w:val="20"/>
        </w:rPr>
        <w:t xml:space="preserve">Proporción de referencias utilizables por 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00"/>
        <w:gridCol w:w="1700"/>
        <w:gridCol w:w="1500"/>
        <w:gridCol w:w="1550"/>
        <w:gridCol w:w="1550"/>
      </w:tblGrid>
      <w:tr>
        <w:trPr>
          <w:cantSplit/>
          <w:tblHeader/>
        </w:trPr>
        <w:tc>
          <w:tcPr>
            <w:tcW w:type="dxa" w:w="15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Tratamiento</w:t>
            </w:r>
          </w:p>
        </w:tc>
        <w:tc>
          <w:tcPr>
            <w:tcW w:type="dxa" w:w="15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center"/>
            </w:pPr>
            <w:r>
              <w:rPr>
                <w:rFonts w:ascii="Latin Modern Roman" w:cs="Latin Modern Roman" w:eastAsia="Latin Modern Roman" w:hAnsi="Latin Modern Roman"/>
                <w:b/>
                <w:bCs/>
                <w:color w:val="003876"/>
                <w:sz w:val="20"/>
                <w:szCs w:val="20"/>
              </w:rPr>
              <w:t xml:space="preserve">N total</w:t>
            </w:r>
          </w:p>
        </w:tc>
        <w:tc>
          <w:tcPr>
            <w:tcW w:type="dxa" w:w="17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center"/>
            </w:pPr>
            <w:r>
              <w:rPr>
                <w:rFonts w:ascii="Latin Modern Roman" w:cs="Latin Modern Roman" w:eastAsia="Latin Modern Roman" w:hAnsi="Latin Modern Roman"/>
                <w:b/>
                <w:bCs/>
                <w:color w:val="003876"/>
                <w:sz w:val="20"/>
                <w:szCs w:val="20"/>
              </w:rPr>
              <w:t xml:space="preserve">N utilizable</w:t>
            </w:r>
          </w:p>
        </w:tc>
        <w:tc>
          <w:tcPr>
            <w:tcW w:type="dxa" w:w="15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center"/>
            </w:pPr>
            <w:r>
              <w:rPr>
                <w:rFonts w:ascii="Latin Modern Roman" w:cs="Latin Modern Roman" w:eastAsia="Latin Modern Roman" w:hAnsi="Latin Modern Roman"/>
                <w:b/>
                <w:bCs/>
                <w:color w:val="003876"/>
                <w:sz w:val="20"/>
                <w:szCs w:val="20"/>
              </w:rPr>
              <w:t xml:space="preserve">Proporción</w:t>
            </w:r>
          </w:p>
        </w:tc>
        <w:tc>
          <w:tcPr>
            <w:tcW w:type="dxa" w:w="15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center"/>
            </w:pPr>
            <w:r>
              <w:rPr>
                <w:rFonts w:ascii="Latin Modern Roman" w:cs="Latin Modern Roman" w:eastAsia="Latin Modern Roman" w:hAnsi="Latin Modern Roman"/>
                <w:b/>
                <w:bCs/>
                <w:color w:val="003876"/>
                <w:sz w:val="20"/>
                <w:szCs w:val="20"/>
              </w:rPr>
              <w:t xml:space="preserve">IC inferior</w:t>
            </w:r>
          </w:p>
        </w:tc>
        <w:tc>
          <w:tcPr>
            <w:tcW w:type="dxa" w:w="15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center"/>
            </w:pPr>
            <w:r>
              <w:rPr>
                <w:rFonts w:ascii="Latin Modern Roman" w:cs="Latin Modern Roman" w:eastAsia="Latin Modern Roman" w:hAnsi="Latin Modern Roman"/>
                <w:b/>
                <w:bCs/>
                <w:color w:val="003876"/>
                <w:sz w:val="20"/>
                <w:szCs w:val="20"/>
              </w:rPr>
              <w:t xml:space="preserve">IC superior</w:t>
            </w:r>
          </w:p>
        </w:tc>
      </w:tr>
      <w:tr>
        <w:trPr>
          <w:cantSplit/>
        </w:trPr>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1,000</w:t>
            </w:r>
          </w:p>
        </w:tc>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,722</w:t>
            </w:r>
          </w:p>
        </w:tc>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1,000</w:t>
            </w:r>
          </w:p>
        </w:tc>
      </w:tr>
      <w:tr>
        <w:trPr>
          <w:cantSplit/>
        </w:trPr>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1,000</w:t>
            </w:r>
          </w:p>
        </w:tc>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,722</w:t>
            </w:r>
          </w:p>
        </w:tc>
        <w:tc>
          <w:tcPr>
            <w:tcW w:type="dxa" w:w="15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1,000</w:t>
            </w:r>
          </w:p>
        </w:tc>
      </w:tr>
      <w:tr>
        <w:trPr>
          <w:cantSplit/>
        </w:trPr>
        <w:tc>
          <w:tcPr>
            <w:tcW w:type="dxa" w:w="15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w:t>
            </w:r>
          </w:p>
        </w:tc>
        <w:tc>
          <w:tcPr>
            <w:tcW w:type="dxa" w:w="15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10</w:t>
            </w:r>
          </w:p>
        </w:tc>
        <w:tc>
          <w:tcPr>
            <w:tcW w:type="dxa" w:w="17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9</w:t>
            </w:r>
          </w:p>
        </w:tc>
        <w:tc>
          <w:tcPr>
            <w:tcW w:type="dxa" w:w="15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,900</w:t>
            </w:r>
          </w:p>
        </w:tc>
        <w:tc>
          <w:tcPr>
            <w:tcW w:type="dxa" w:w="15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,596</w:t>
            </w:r>
          </w:p>
        </w:tc>
        <w:tc>
          <w:tcPr>
            <w:tcW w:type="dxa" w:w="15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center"/>
            </w:pPr>
            <w:r>
              <w:rPr>
                <w:rFonts w:ascii="Latin Modern Roman" w:cs="Latin Modern Roman" w:eastAsia="Latin Modern Roman" w:hAnsi="Latin Modern Roman"/>
                <w:sz w:val="20"/>
                <w:szCs w:val="20"/>
              </w:rPr>
              <w:t xml:space="preserve">,982</w:t>
            </w:r>
          </w:p>
        </w:tc>
      </w:tr>
    </w:tbl>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IC = intervalo de confianza de Wilson al 95 %.</w:t>
      </w:r>
    </w:p>
    <w:p>
      <w:pPr>
        <w:keepNext/>
        <w:spacing w:after="100" w:before="200" w:line="264"/>
      </w:pPr>
      <w:r>
        <w:rPr>
          <w:rFonts w:ascii="Latin Modern Roman" w:cs="Latin Modern Roman" w:eastAsia="Latin Modern Roman" w:hAnsi="Latin Modern Roman"/>
          <w:b/>
          <w:bCs/>
          <w:color w:val="003876"/>
          <w:sz w:val="20"/>
          <w:szCs w:val="20"/>
        </w:rPr>
        <w:t xml:space="preserve">Figura 1. </w:t>
      </w:r>
      <w:r>
        <w:rPr>
          <w:rFonts w:ascii="Latin Modern Roman" w:cs="Latin Modern Roman" w:eastAsia="Latin Modern Roman" w:hAnsi="Latin Modern Roman"/>
          <w:sz w:val="20"/>
          <w:szCs w:val="20"/>
        </w:rPr>
        <w:t xml:space="preserve">Proporción de referencias utilizables por tratamiento</w:t>
      </w:r>
    </w:p>
    <w:p>
      <w:pPr>
        <w:keepNext/>
        <w:spacing w:after="0" w:before="0"/>
        <w:jc w:val="center"/>
      </w:pPr>
      <w:r>
        <w:drawing>
          <wp:inline distT="0" distB="0" distL="0" distR="0">
            <wp:extent cx="4953000" cy="2952750"/>
            <wp:effectExtent t="0" r="0" b="0" l="0"/>
            <wp:docPr id="1" name="fig1" descr="Gráfico de barras: proporción utilizable A 100 %, B 100 %, C 90 %, con intervalos de Wilson al 95 %"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Las barras de error son intervalos de confianza de Wilson al 95 %. A = chat sin fuentes; B = buscador con bases reales; C = contexto cerrado.</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5.3. Interpretación</w:t>
      </w:r>
    </w:p>
    <w:p>
      <w:pPr>
        <w:spacing w:after="140" w:before="0" w:line="288"/>
        <w:jc w:val="both"/>
      </w:pPr>
      <w:r>
        <w:rPr>
          <w:rFonts w:ascii="Latin Modern Roman" w:cs="Latin Modern Roman" w:eastAsia="Latin Modern Roman" w:hAnsi="Latin Modern Roman"/>
          <w:sz w:val="22"/>
          <w:szCs w:val="22"/>
        </w:rPr>
        <w:t xml:space="preserve">El único caso no utilizable reveló un fallo real y documentado: NotebookLM citó valores de Miskin et al. (2021), un artículo que no estaba en el corpus en el momento de la consulta. Los dos integrantes confirmaron con fecha exacta que el PDF se subió un día después. El artículo sí respalda el contenido de la diapositiva 8.1, así que el problema es del sistema y no de la bibliografía.</w:t>
      </w:r>
    </w:p>
    <w:p>
      <w:pPr>
        <w:spacing w:after="140" w:before="0" w:line="288"/>
        <w:jc w:val="both"/>
      </w:pPr>
      <w:r>
        <w:rPr>
          <w:rFonts w:ascii="Latin Modern Roman" w:cs="Latin Modern Roman" w:eastAsia="Latin Modern Roman" w:hAnsi="Latin Modern Roman"/>
          <w:sz w:val="22"/>
          <w:szCs w:val="22"/>
        </w:rPr>
        <w:t xml:space="preserve">Respecto del kappa, el equipo señala que el valor negativo pese al alto acuerdo es un artefacto estadístico esperable cuando casi todas las referencias caen en una sola categoría, y que no indica desacuerdo real. Esa explicación es correcta en lo general; la Sección 9 añade una verificación aritmética sobre qué configuración de clasificaciones produce exactamente ese valor.</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6. Herramienta elegida y comparación</w:t>
      </w:r>
    </w:p>
    <w:p>
      <w:pPr>
        <w:spacing w:after="140" w:before="0" w:line="288"/>
        <w:jc w:val="both"/>
      </w:pPr>
      <w:r>
        <w:rPr>
          <w:rFonts w:ascii="Latin Modern Roman" w:cs="Latin Modern Roman" w:eastAsia="Latin Modern Roman" w:hAnsi="Latin Modern Roman"/>
          <w:sz w:val="22"/>
          <w:szCs w:val="22"/>
        </w:rPr>
        <w:t xml:space="preserve">Se comparó NotebookLM con la alternativa de un proyecto con archivos (Claude o ChatGPT Projects) en seis criterios (Tabla 7). NotebookLM gana en tres, empata en dos y pierde en uno. Se eligió principalmente por su capacidad de citar con localización exacta dentro del documento, que se verificó en la práctica durante el experimento.</w:t>
      </w:r>
    </w:p>
    <w:p>
      <w:pPr>
        <w:keepNext/>
        <w:spacing w:after="100" w:before="200" w:line="264"/>
      </w:pPr>
      <w:r>
        <w:rPr>
          <w:rFonts w:ascii="Latin Modern Roman" w:cs="Latin Modern Roman" w:eastAsia="Latin Modern Roman" w:hAnsi="Latin Modern Roman"/>
          <w:b/>
          <w:bCs/>
          <w:color w:val="003876"/>
          <w:sz w:val="20"/>
          <w:szCs w:val="20"/>
        </w:rPr>
        <w:t xml:space="preserve">Tabla 7. </w:t>
      </w:r>
      <w:r>
        <w:rPr>
          <w:rFonts w:ascii="Latin Modern Roman" w:cs="Latin Modern Roman" w:eastAsia="Latin Modern Roman" w:hAnsi="Latin Modern Roman"/>
          <w:sz w:val="20"/>
          <w:szCs w:val="20"/>
        </w:rPr>
        <w:t xml:space="preserve">Comparación de NotebookLM con un proyecto con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cantSplit/>
          <w:tblHeader/>
        </w:trPr>
        <w:tc>
          <w:tcPr>
            <w:tcW w:type="dxa" w:w="30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Criterio</w:t>
            </w:r>
          </w:p>
        </w:tc>
        <w:tc>
          <w:tcPr>
            <w:tcW w:type="dxa" w:w="26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Resultado</w:t>
            </w:r>
          </w:p>
        </w:tc>
        <w:tc>
          <w:tcPr>
            <w:tcW w:type="dxa" w:w="37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Comentario</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Contexto cerrado</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Gana NotebookLM</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Cita con localización</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Gana NotebookLM</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Criterio decisivo en la elección</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Costo</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Gana NotebookLM</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Privacidad</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Empate*</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Exportación APA 7</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Empate*</w:t>
            </w:r>
          </w:p>
        </w:tc>
        <w:tc>
          <w:tcPr>
            <w:tcW w:type="dxa" w:w="37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w:t>
            </w:r>
          </w:p>
        </w:tc>
      </w:tr>
      <w:tr>
        <w:trPr>
          <w:cantSplit/>
        </w:trPr>
        <w:tc>
          <w:tcPr>
            <w:tcW w:type="dxa" w:w="30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Reproducibilidad</w:t>
            </w:r>
          </w:p>
        </w:tc>
        <w:tc>
          <w:tcPr>
            <w:tcW w:type="dxa" w:w="26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Gana el proyecto con archivos</w:t>
            </w:r>
          </w:p>
        </w:tc>
        <w:tc>
          <w:tcPr>
            <w:tcW w:type="dxa" w:w="37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Se compensa documentando por escrito el protocolo de prompts (Sección 8)</w:t>
            </w:r>
          </w:p>
        </w:tc>
      </w:tr>
    </w:tbl>
    <w:p>
      <w:pPr>
        <w:spacing w:after="200" w:before="60" w:line="240"/>
      </w:pPr>
      <w:r>
        <w:rPr>
          <w:rFonts w:ascii="Latin Modern Roman" w:cs="Latin Modern Roman" w:eastAsia="Latin Modern Roman" w:hAnsi="Latin Modern Roman"/>
          <w:i/>
          <w:iCs/>
          <w:sz w:val="18"/>
          <w:szCs w:val="18"/>
        </w:rPr>
        <w:t xml:space="preserve">Nota. La actividad no nombra los dos empates; se infieren por eliminación, porque los otros cuatro criterios tienen resultado explícito</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7. Sistema de fuentes</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7.1. Tabla de fuentes</w:t>
      </w:r>
    </w:p>
    <w:p>
      <w:pPr>
        <w:spacing w:after="140" w:before="0" w:line="288"/>
        <w:jc w:val="both"/>
      </w:pPr>
      <w:r>
        <w:rPr>
          <w:rFonts w:ascii="Latin Modern Roman" w:cs="Latin Modern Roman" w:eastAsia="Latin Modern Roman" w:hAnsi="Latin Modern Roman"/>
          <w:sz w:val="22"/>
          <w:szCs w:val="22"/>
        </w:rPr>
        <w:t xml:space="preserve">El corpus del proyecto reúne diez fuentes (Tabla 8). Los DOI de cada una están en la lista de referencias.</w:t>
      </w:r>
    </w:p>
    <w:p>
      <w:pPr>
        <w:keepNext/>
        <w:spacing w:after="100" w:before="200" w:line="264"/>
      </w:pPr>
      <w:r>
        <w:rPr>
          <w:rFonts w:ascii="Latin Modern Roman" w:cs="Latin Modern Roman" w:eastAsia="Latin Modern Roman" w:hAnsi="Latin Modern Roman"/>
          <w:b/>
          <w:bCs/>
          <w:color w:val="003876"/>
          <w:sz w:val="20"/>
          <w:szCs w:val="20"/>
        </w:rPr>
        <w:t xml:space="preserve">Tabla 8. </w:t>
      </w:r>
      <w:r>
        <w:rPr>
          <w:rFonts w:ascii="Latin Modern Roman" w:cs="Latin Modern Roman" w:eastAsia="Latin Modern Roman" w:hAnsi="Latin Modern Roman"/>
          <w:sz w:val="20"/>
          <w:szCs w:val="20"/>
        </w:rPr>
        <w:t xml:space="preserve">Fuentes del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700"/>
        <w:gridCol w:w="3640"/>
        <w:gridCol w:w="2600"/>
      </w:tblGrid>
      <w:tr>
        <w:trPr>
          <w:cantSplit/>
          <w:tblHeader/>
        </w:trPr>
        <w:tc>
          <w:tcPr>
            <w:tcW w:type="dxa" w:w="42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w:t>
            </w:r>
          </w:p>
        </w:tc>
        <w:tc>
          <w:tcPr>
            <w:tcW w:type="dxa" w:w="27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Archivo</w:t>
            </w:r>
          </w:p>
        </w:tc>
        <w:tc>
          <w:tcPr>
            <w:tcW w:type="dxa" w:w="364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Enfoque</w:t>
            </w:r>
          </w:p>
        </w:tc>
        <w:tc>
          <w:tcPr>
            <w:tcW w:type="dxa" w:w="26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Autores y año</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073c3e60427a…</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Graduación simplificada en RM lumbar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Miskin et al. (2021)</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2</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A_Comprehensive…</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Revisión integral de IA en RM lumbar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Abdelrahman et al. (2026)</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3</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Anatomy-guided…</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Aprendizaje profundo guiado por anatomía</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Chai et al. (2026)</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4</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OS-12-917.pdf</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Efecto biomecánico en elementos finitos (L4-L5)</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Cai et al. (2020)</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The_RSNA_Lumbar…</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Conjunto de datos RSNA LumbarDISC</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Richards et al. / RSNA (2026)</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6</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al-tameemi_2017…</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Mielografía por RM y acuerdo interobservador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Al-Tameemi et al. (2017)</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7</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bagley_2019.pdf</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Conceptos y manejo de la estenosis lumbar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Bagley et al. (2019)</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8</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s00586-025-09179-z.pdf</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Avances y desafíos en la resonancia asistida por IA</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Zhao et al. (2025)</w:t>
            </w:r>
          </w:p>
        </w:tc>
      </w:tr>
      <w:tr>
        <w:trPr>
          <w:cantSplit/>
        </w:trPr>
        <w:tc>
          <w:tcPr>
            <w:tcW w:type="dxa" w:w="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9</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beyond_accuracy…</w:t>
            </w:r>
          </w:p>
        </w:tc>
        <w:tc>
          <w:tcPr>
            <w:tcW w:type="dxa" w:w="36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Vision Transformers y métricas ordinales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Trînc et al. (2026)</w:t>
            </w:r>
          </w:p>
        </w:tc>
      </w:tr>
      <w:tr>
        <w:trPr>
          <w:cantSplit/>
        </w:trPr>
        <w:tc>
          <w:tcPr>
            <w:tcW w:type="dxa" w:w="42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w:t>
            </w:r>
          </w:p>
        </w:tc>
        <w:tc>
          <w:tcPr>
            <w:tcW w:type="dxa" w:w="27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medicina-61…</w:t>
            </w:r>
          </w:p>
        </w:tc>
        <w:tc>
          <w:tcPr>
            <w:tcW w:type="dxa" w:w="364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IA en patología degenerativa lumbar (revisión)</w:t>
            </w:r>
          </w:p>
        </w:tc>
        <w:tc>
          <w:tcPr>
            <w:tcW w:type="dxa" w:w="26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Trento et al. (2025)</w:t>
            </w:r>
          </w:p>
        </w:tc>
      </w:tr>
    </w:tbl>
    <w:p>
      <w:pPr>
        <w:spacing w:after="0" w:before="0" w:line="200"/>
      </w:pPr>
    </w:p>
    <w:p>
      <w:pPr>
        <w:pStyle w:val="Heading2"/>
        <w:keepNext/>
        <w:spacing w:after="100" w:before="240" w:line="288"/>
      </w:pPr>
      <w:r>
        <w:rPr>
          <w:rFonts w:ascii="Latin Modern Roman" w:cs="Latin Modern Roman" w:eastAsia="Latin Modern Roman" w:hAnsi="Latin Modern Roman"/>
          <w:b/>
          <w:bCs/>
          <w:color w:val="003876"/>
          <w:sz w:val="24"/>
          <w:szCs w:val="24"/>
        </w:rPr>
        <w:t xml:space="preserve">7.2. Tabla de trazabilidad</w:t>
      </w:r>
    </w:p>
    <w:p>
      <w:pPr>
        <w:spacing w:after="140" w:before="0" w:line="288"/>
        <w:jc w:val="both"/>
      </w:pPr>
      <w:r>
        <w:rPr>
          <w:rFonts w:ascii="Latin Modern Roman" w:cs="Latin Modern Roman" w:eastAsia="Latin Modern Roman" w:hAnsi="Latin Modern Roman"/>
          <w:sz w:val="22"/>
          <w:szCs w:val="22"/>
        </w:rPr>
        <w:t xml:space="preserve">La Tabla 9 cubre las diapositivas 7, 8 y 9 del anteproyecto. Por cada afirmación indica qué fuente cita la diapositiva, si esa fuente es real y si su contenido respalda lo que se afirma. Convención: </w:t>
      </w:r>
      <w:r>
        <w:rPr>
          <w:rFonts w:ascii="Latin Modern Roman" w:cs="Latin Modern Roman" w:eastAsia="Latin Modern Roman" w:hAnsi="Latin Modern Roman"/>
          <w:i/>
          <w:iCs/>
          <w:sz w:val="22"/>
          <w:szCs w:val="22"/>
        </w:rPr>
        <w:t xml:space="preserve">Coincide</w:t>
      </w:r>
      <w:r>
        <w:rPr>
          <w:rFonts w:ascii="Latin Modern Roman" w:cs="Latin Modern Roman" w:eastAsia="Latin Modern Roman" w:hAnsi="Latin Modern Roman"/>
          <w:sz w:val="22"/>
          <w:szCs w:val="22"/>
        </w:rPr>
        <w:t xml:space="preserve"> (la fuente real dice lo que se le atribuye), </w:t>
      </w:r>
      <w:r>
        <w:rPr>
          <w:rFonts w:ascii="Latin Modern Roman" w:cs="Latin Modern Roman" w:eastAsia="Latin Modern Roman" w:hAnsi="Latin Modern Roman"/>
          <w:i/>
          <w:iCs/>
          <w:sz w:val="22"/>
          <w:szCs w:val="22"/>
        </w:rPr>
        <w:t xml:space="preserve">Sin confirmar</w:t>
      </w:r>
      <w:r>
        <w:rPr>
          <w:rFonts w:ascii="Latin Modern Roman" w:cs="Latin Modern Roman" w:eastAsia="Latin Modern Roman" w:hAnsi="Latin Modern Roman"/>
          <w:sz w:val="22"/>
          <w:szCs w:val="22"/>
        </w:rPr>
        <w:t xml:space="preserve"> (la fuente parece correcta pero no se cotejó el contenido exacto) y </w:t>
      </w:r>
      <w:r>
        <w:rPr>
          <w:rFonts w:ascii="Latin Modern Roman" w:cs="Latin Modern Roman" w:eastAsia="Latin Modern Roman" w:hAnsi="Latin Modern Roman"/>
          <w:i/>
          <w:iCs/>
          <w:sz w:val="22"/>
          <w:szCs w:val="22"/>
        </w:rPr>
        <w:t xml:space="preserve">No coincide</w:t>
      </w:r>
      <w:r>
        <w:rPr>
          <w:rFonts w:ascii="Latin Modern Roman" w:cs="Latin Modern Roman" w:eastAsia="Latin Modern Roman" w:hAnsi="Latin Modern Roman"/>
          <w:sz w:val="22"/>
          <w:szCs w:val="22"/>
        </w:rPr>
        <w:t xml:space="preserve"> (hay un problema de atribución). Las afirmaciones están resumidas, no transcritas; las fechas y los responsables de la verificación provienen del registro de la actividad.</w:t>
      </w:r>
    </w:p>
    <w:p>
      <w:pPr>
        <w:keepNext/>
        <w:spacing w:after="100" w:before="200" w:line="264"/>
      </w:pPr>
      <w:r>
        <w:rPr>
          <w:rFonts w:ascii="Latin Modern Roman" w:cs="Latin Modern Roman" w:eastAsia="Latin Modern Roman" w:hAnsi="Latin Modern Roman"/>
          <w:b/>
          <w:bCs/>
          <w:color w:val="003876"/>
          <w:sz w:val="20"/>
          <w:szCs w:val="20"/>
        </w:rPr>
        <w:t xml:space="preserve">Tabla 9. </w:t>
      </w:r>
      <w:r>
        <w:rPr>
          <w:rFonts w:ascii="Latin Modern Roman" w:cs="Latin Modern Roman" w:eastAsia="Latin Modern Roman" w:hAnsi="Latin Modern Roman"/>
          <w:sz w:val="20"/>
          <w:szCs w:val="20"/>
        </w:rPr>
        <w:t xml:space="preserve">Trazabilidad de las afirmaciones de las diapositivas 7 a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1950"/>
        <w:gridCol w:w="1450"/>
        <w:gridCol w:w="1900"/>
        <w:gridCol w:w="2150"/>
        <w:gridCol w:w="1480"/>
      </w:tblGrid>
      <w:tr>
        <w:trPr>
          <w:cantSplit/>
          <w:tblHeader/>
        </w:trPr>
        <w:tc>
          <w:tcPr>
            <w:tcW w:type="dxa" w:w="43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18"/>
                <w:szCs w:val="18"/>
              </w:rPr>
              <w:t xml:space="preserve">#</w:t>
            </w:r>
          </w:p>
        </w:tc>
        <w:tc>
          <w:tcPr>
            <w:tcW w:type="dxa" w:w="19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18"/>
                <w:szCs w:val="18"/>
              </w:rPr>
              <w:t xml:space="preserve">Afirmación</w:t>
            </w:r>
          </w:p>
        </w:tc>
        <w:tc>
          <w:tcPr>
            <w:tcW w:type="dxa" w:w="14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18"/>
                <w:szCs w:val="18"/>
              </w:rPr>
              <w:t xml:space="preserve">Fuente citada</w:t>
            </w:r>
          </w:p>
        </w:tc>
        <w:tc>
          <w:tcPr>
            <w:tcW w:type="dxa" w:w="19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18"/>
                <w:szCs w:val="18"/>
              </w:rPr>
              <w:t xml:space="preserve">¿Fuente real?</w:t>
            </w:r>
          </w:p>
        </w:tc>
        <w:tc>
          <w:tcPr>
            <w:tcW w:type="dxa" w:w="215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18"/>
                <w:szCs w:val="18"/>
              </w:rPr>
              <w:t xml:space="preserve">¿Coincide el contenido?</w:t>
            </w:r>
          </w:p>
        </w:tc>
        <w:tc>
          <w:tcPr>
            <w:tcW w:type="dxa" w:w="148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18"/>
                <w:szCs w:val="18"/>
              </w:rPr>
              <w:t xml:space="preserve">Verificación</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7.1</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Evaluar estas condiciones con métodos básicos es insuficiente por el desbalance de datos; se proponen modelos estadísticos para perfiles completos</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Bibliografía: «Preprints (2026)», sin autores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la plataforma es real; los autores reales (Trînc, Ancuți, Ancuți e Iacob) se omitieron</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Sin confirmar (parcial).</w:t>
            </w:r>
            <w:r>
              <w:rPr>
                <w:rFonts w:ascii="Latin Modern Roman" w:cs="Latin Modern Roman" w:eastAsia="Latin Modern Roman" w:hAnsi="Latin Modern Roman"/>
                <w:sz w:val="18"/>
                <w:szCs w:val="18"/>
              </w:rPr>
              <w:t xml:space="preserve"> El método real son cinco pipelines de Vision Transformers con 24 configuraciones cada uno</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Leído completo, pp. 1-2; 24-sep-2026</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7.2</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Los modelos de IA transforman el diagnóstico y pronóstico de estenosis espinal y hernias discales, y agilizan el flujo de trabajo</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Abdelrahman et al. (2026), «J. Software Engineering and Applications»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la revista real es </w:t>
            </w:r>
            <w:r>
              <w:rPr>
                <w:rFonts w:ascii="Latin Modern Roman" w:cs="Latin Modern Roman" w:eastAsia="Latin Modern Roman" w:hAnsi="Latin Modern Roman"/>
                <w:i/>
                <w:iCs/>
                <w:sz w:val="18"/>
                <w:szCs w:val="18"/>
              </w:rPr>
              <w:t xml:space="preserve">Journal of Smart Algorithms and Applications</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Sin confirmar.</w:t>
            </w:r>
            <w:r>
              <w:rPr>
                <w:rFonts w:ascii="Latin Modern Roman" w:cs="Latin Modern Roman" w:eastAsia="Latin Modern Roman" w:hAnsi="Latin Modern Roman"/>
                <w:sz w:val="18"/>
                <w:szCs w:val="18"/>
              </w:rPr>
              <w:t xml:space="preserve"> Es plausible, pero falta el cotejo línea por línea con la diapositiva</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Juan David y equipo; 26-sep-2026</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7.3</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Algunas patologías pueden tener una misma causa de origen y relacionarse</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Furman (2024), </w:t>
            </w:r>
            <w:r>
              <w:rPr>
                <w:rFonts w:ascii="Latin Modern Roman" w:cs="Latin Modern Roman" w:eastAsia="Latin Modern Roman" w:hAnsi="Latin Modern Roman"/>
                <w:i/>
                <w:iCs/>
                <w:sz w:val="18"/>
                <w:szCs w:val="18"/>
              </w:rPr>
              <w:t xml:space="preserve">Spinal Stenosis</w:t>
            </w:r>
            <w:r>
              <w:rPr>
                <w:rFonts w:ascii="Latin Modern Roman" w:cs="Latin Modern Roman" w:eastAsia="Latin Modern Roman" w:hAnsi="Latin Modern Roman"/>
                <w:sz w:val="18"/>
                <w:szCs w:val="18"/>
              </w:rPr>
              <w:t xml:space="preserve">, Medscape</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Existe, pero es fuente terciaria con acceso restringido</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Sin confirmar</w:t>
            </w:r>
            <w:r>
              <w:rPr>
                <w:rFonts w:ascii="Latin Modern Roman" w:cs="Latin Modern Roman" w:eastAsia="Latin Modern Roman" w:hAnsi="Latin Modern Roman"/>
                <w:sz w:val="18"/>
                <w:szCs w:val="18"/>
              </w:rPr>
              <w:t xml:space="preserve"> (barrera de acceso)</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Retirada el 2-oct-2026 (Juan David)</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8.1</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Desarrollado por especialistas de varias disciplinas; compara concordancia entre especialidades y no solo entre radiólogos</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Miskin et al. (2021)</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w:t>
            </w:r>
            <w:r>
              <w:rPr>
                <w:rFonts w:ascii="Latin Modern Roman" w:cs="Latin Modern Roman" w:eastAsia="Latin Modern Roman" w:hAnsi="Latin Modern Roman"/>
                <w:i/>
                <w:iCs/>
                <w:sz w:val="18"/>
                <w:szCs w:val="18"/>
              </w:rPr>
              <w:t xml:space="preserve">Pain Medicine</w:t>
            </w:r>
            <w:r>
              <w:rPr>
                <w:rFonts w:ascii="Latin Modern Roman" w:cs="Latin Modern Roman" w:eastAsia="Latin Modern Roman" w:hAnsi="Latin Modern Roman"/>
                <w:sz w:val="18"/>
                <w:szCs w:val="18"/>
              </w:rPr>
              <w:t xml:space="preserve">, DOI 10.1093/pm/pnab098</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Coincide.</w:t>
            </w:r>
            <w:r>
              <w:rPr>
                <w:rFonts w:ascii="Latin Modern Roman" w:cs="Latin Modern Roman" w:eastAsia="Latin Modern Roman" w:hAnsi="Latin Modern Roman"/>
                <w:sz w:val="18"/>
                <w:szCs w:val="18"/>
              </w:rPr>
              <w:t xml:space="preserve"> El fallo fue del sistema: el PDF no estaba cargado en el notebook al correr el tratamiento C</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26-sep-2026</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8.2</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Combina mielografía y resonancia magnética</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Al-Tameemi et al. (2017)</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w:t>
            </w:r>
            <w:r>
              <w:rPr>
                <w:rFonts w:ascii="Latin Modern Roman" w:cs="Latin Modern Roman" w:eastAsia="Latin Modern Roman" w:hAnsi="Latin Modern Roman"/>
                <w:i/>
                <w:iCs/>
                <w:sz w:val="18"/>
                <w:szCs w:val="18"/>
              </w:rPr>
              <w:t xml:space="preserve">Asian Spine Journal</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Coincide</w:t>
            </w:r>
            <w:r>
              <w:rPr>
                <w:rFonts w:ascii="Latin Modern Roman" w:cs="Latin Modern Roman" w:eastAsia="Latin Modern Roman" w:hAnsi="Latin Modern Roman"/>
                <w:sz w:val="18"/>
                <w:szCs w:val="18"/>
              </w:rPr>
              <w:t xml:space="preserve">, aunque la síntesis de la diapositiva es muy pobre</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Leído completo, pp. 200-201 (Tablas 2 y 3); 24-sep-2026</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8.3</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Con 37 médicos de seis especialidades, revisa la exactitud preintervención con y sin capacitación</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Walsh et al. (2026)</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w:t>
            </w:r>
            <w:r>
              <w:rPr>
                <w:rFonts w:ascii="Latin Modern Roman" w:cs="Latin Modern Roman" w:eastAsia="Latin Modern Roman" w:hAnsi="Latin Modern Roman"/>
                <w:i/>
                <w:iCs/>
                <w:sz w:val="18"/>
                <w:szCs w:val="18"/>
              </w:rPr>
              <w:t xml:space="preserve">Academic Radiology</w:t>
            </w:r>
            <w:r>
              <w:rPr>
                <w:rFonts w:ascii="Latin Modern Roman" w:cs="Latin Modern Roman" w:eastAsia="Latin Modern Roman" w:hAnsi="Latin Modern Roman"/>
                <w:sz w:val="18"/>
                <w:szCs w:val="18"/>
              </w:rPr>
              <w:t xml:space="preserve">; autores mal separados en la bibliografía</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Coincide</w:t>
            </w:r>
            <w:r>
              <w:rPr>
                <w:rFonts w:ascii="Latin Modern Roman" w:cs="Latin Modern Roman" w:eastAsia="Latin Modern Roman" w:hAnsi="Latin Modern Roman"/>
                <w:sz w:val="18"/>
                <w:szCs w:val="18"/>
              </w:rPr>
              <w:t xml:space="preserve"> (vía resumen): exactitud de 54,5 % a 61,2 % tras capacitación estructurada</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22-sep-2026; cita por corregir</w:t>
            </w:r>
          </w:p>
        </w:tc>
      </w:tr>
      <w:tr>
        <w:trPr>
          <w:cantSplit/>
        </w:trPr>
        <w:tc>
          <w:tcPr>
            <w:tcW w:type="dxa" w:w="4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9.1</w:t>
            </w:r>
          </w:p>
        </w:tc>
        <w:tc>
          <w:tcPr>
            <w:tcW w:type="dxa" w:w="19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Aprendizaje profundo guiado por la anatomía para clasificar la patología y evaluar el riesgo</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Chai et al. (2026), </w:t>
            </w:r>
            <w:r>
              <w:rPr>
                <w:rFonts w:ascii="Latin Modern Roman" w:cs="Latin Modern Roman" w:eastAsia="Latin Modern Roman" w:hAnsi="Latin Modern Roman"/>
                <w:i/>
                <w:iCs/>
                <w:sz w:val="18"/>
                <w:szCs w:val="18"/>
              </w:rPr>
              <w:t xml:space="preserve">Frontiers in Medicine</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DOI 10.3389/fmed.2026.1848548; publicado el 26-jun-2026</w:t>
            </w:r>
          </w:p>
        </w:tc>
        <w:tc>
          <w:tcPr>
            <w:tcW w:type="dxa" w:w="21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Coincide.</w:t>
            </w:r>
            <w:r>
              <w:rPr>
                <w:rFonts w:ascii="Latin Modern Roman" w:cs="Latin Modern Roman" w:eastAsia="Latin Modern Roman" w:hAnsi="Latin Modern Roman"/>
                <w:sz w:val="18"/>
                <w:szCs w:val="18"/>
              </w:rPr>
              <w:t xml:space="preserve"> Marco de tres etapas; macro F1 = ,783; κ = ,765; AUC por paciente = ,891</w:t>
            </w:r>
          </w:p>
        </w:tc>
        <w:tc>
          <w:tcPr>
            <w:tcW w:type="dxa" w:w="1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26-sep-2026</w:t>
            </w:r>
          </w:p>
        </w:tc>
      </w:tr>
      <w:tr>
        <w:trPr>
          <w:cantSplit/>
        </w:trPr>
        <w:tc>
          <w:tcPr>
            <w:tcW w:type="dxa" w:w="43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9.2</w:t>
            </w:r>
          </w:p>
        </w:tc>
        <w:tc>
          <w:tcPr>
            <w:tcW w:type="dxa" w:w="19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Avances y conceptos para entender y tratar la estenosis, con mejoras en tratamientos</w:t>
            </w:r>
          </w:p>
        </w:tc>
        <w:tc>
          <w:tcPr>
            <w:tcW w:type="dxa" w:w="14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Bagley et al. (2019)</w:t>
            </w:r>
          </w:p>
        </w:tc>
        <w:tc>
          <w:tcPr>
            <w:tcW w:type="dxa" w:w="19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Sí: </w:t>
            </w:r>
            <w:r>
              <w:rPr>
                <w:rFonts w:ascii="Latin Modern Roman" w:cs="Latin Modern Roman" w:eastAsia="Latin Modern Roman" w:hAnsi="Latin Modern Roman"/>
                <w:i/>
                <w:iCs/>
                <w:sz w:val="18"/>
                <w:szCs w:val="18"/>
              </w:rPr>
              <w:t xml:space="preserve">F1000Research</w:t>
            </w:r>
          </w:p>
        </w:tc>
        <w:tc>
          <w:tcPr>
            <w:tcW w:type="dxa" w:w="215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b/>
                <w:bCs/>
                <w:sz w:val="18"/>
                <w:szCs w:val="18"/>
              </w:rPr>
              <w:t xml:space="preserve">Coincide.</w:t>
            </w:r>
            <w:r>
              <w:rPr>
                <w:rFonts w:ascii="Latin Modern Roman" w:cs="Latin Modern Roman" w:eastAsia="Latin Modern Roman" w:hAnsi="Latin Modern Roman"/>
                <w:sz w:val="18"/>
                <w:szCs w:val="18"/>
              </w:rPr>
              <w:t xml:space="preserve"> No hay recomendaciones de nivel I; la diapositiva no lo menciona, pero no lo contradice</w:t>
            </w:r>
          </w:p>
        </w:tc>
        <w:tc>
          <w:tcPr>
            <w:tcW w:type="dxa" w:w="148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18"/>
                <w:szCs w:val="18"/>
              </w:rPr>
              <w:t xml:space="preserve">Leído completo, pp. 1 y 4-5; 24-sep-2026</w:t>
            </w:r>
          </w:p>
        </w:tc>
      </w:tr>
    </w:tbl>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8. Protocolo de prompts (v1.0)</w:t>
      </w:r>
    </w:p>
    <w:p>
      <w:pPr>
        <w:spacing w:after="140" w:before="0" w:line="288"/>
        <w:jc w:val="both"/>
      </w:pPr>
      <w:r>
        <w:rPr>
          <w:rFonts w:ascii="Latin Modern Roman" w:cs="Latin Modern Roman" w:eastAsia="Latin Modern Roman" w:hAnsi="Latin Modern Roman"/>
          <w:sz w:val="22"/>
          <w:szCs w:val="22"/>
        </w:rPr>
        <w:t xml:space="preserve">El protocolo fija cómo debe comportarse el agente de consultoría para que el uso de IA sea reproducible y verificable. Se emitió el 27 de septiembre de 2026 (Tabla 10).</w:t>
      </w:r>
    </w:p>
    <w:p>
      <w:pPr>
        <w:keepNext/>
        <w:spacing w:after="100" w:before="200" w:line="264"/>
      </w:pPr>
      <w:r>
        <w:rPr>
          <w:rFonts w:ascii="Latin Modern Roman" w:cs="Latin Modern Roman" w:eastAsia="Latin Modern Roman" w:hAnsi="Latin Modern Roman"/>
          <w:b/>
          <w:bCs/>
          <w:color w:val="003876"/>
          <w:sz w:val="20"/>
          <w:szCs w:val="20"/>
        </w:rPr>
        <w:t xml:space="preserve">Tabla 10. </w:t>
      </w:r>
      <w:r>
        <w:rPr>
          <w:rFonts w:ascii="Latin Modern Roman" w:cs="Latin Modern Roman" w:eastAsia="Latin Modern Roman" w:hAnsi="Latin Modern Roman"/>
          <w:sz w:val="20"/>
          <w:szCs w:val="20"/>
        </w:rPr>
        <w:t xml:space="preserve">Componentes del protocolo de prompts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Componente</w:t>
            </w:r>
          </w:p>
        </w:tc>
        <w:tc>
          <w:tcPr>
            <w:tcW w:type="dxa" w:w="70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Contenido</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Sistema</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Agente de Consultoría Bioestadística (estenosis lumbar / RSNA 2024)</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Versión y fecha</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v1.0, 27 de septiembre de 2026</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Rol</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Consultor bioestadístico senior especializado en análisis clínico e interpretación de datos de resonancia magnética para estenosis lumbar, con asistencia rigurosa, transparente y metodológicamente reproducible</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Corpus autorizado</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Únicamente los PDF del estado del arte almacenados en la biblioteca del proyecto y el conjunto tabular de Kaggle (RSNA 2024)</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Restricción</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Prohibido usar conocimiento general no verificado para emitir juicios clínicos o estadísticos específicos del corpus</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Formato de cita</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[Autor, Año] + (Documento, página o sección exacta), obligatorio para toda afirmación, métrica o hallazgo</w:t>
            </w:r>
          </w:p>
        </w:tc>
      </w:tr>
      <w:tr>
        <w:trPr>
          <w:cantSplit/>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Abstención</w:t>
            </w:r>
          </w:p>
        </w:tc>
        <w:tc>
          <w:tcPr>
            <w:tcW w:type="dxa" w:w="70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Si la respuesta no está explícita en el corpus o los datos, responder: «La información solicitada no se encuentra disponible en las fuentes documentales ni en los datos provistos por el corpus del proyecto»</w:t>
            </w:r>
          </w:p>
        </w:tc>
      </w:tr>
      <w:tr>
        <w:trPr>
          <w:cantSplit/>
        </w:trPr>
        <w:tc>
          <w:tcPr>
            <w:tcW w:type="dxa" w:w="23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Historial</w:t>
            </w:r>
          </w:p>
        </w:tc>
        <w:tc>
          <w:tcPr>
            <w:tcW w:type="dxa" w:w="70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v1.0: directrices sobre restricción de fuentes y obligatoriedad de abstención ante vacíos informativos</w:t>
            </w:r>
          </w:p>
        </w:tc>
      </w:tr>
    </w:tbl>
    <w:p>
      <w:pPr>
        <w:spacing w:after="0" w:before="0" w:line="200"/>
      </w:pP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9. Observaciones del análisis y acciones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03876" w:sz="24"/>
              <w:bottom w:val="none" w:color="FFFFFF" w:sz="0"/>
              <w:right w:val="none" w:color="FFFFFF" w:sz="0"/>
            </w:tcBorders>
            <w:shd w:fill="F2F5F8" w:color="auto" w:val="clear"/>
            <w:tcMar>
              <w:top w:type="dxa" w:w="120"/>
              <w:left w:type="dxa" w:w="200"/>
              <w:bottom w:type="dxa" w:w="80"/>
              <w:right w:type="dxa" w:w="200"/>
            </w:tcMar>
          </w:tcPr>
          <w:p>
            <w:pPr>
              <w:keepNext/>
              <w:spacing w:after="80" w:before="0" w:line="264"/>
            </w:pPr>
            <w:r>
              <w:rPr>
                <w:rFonts w:ascii="Latin Modern Roman" w:cs="Latin Modern Roman" w:eastAsia="Latin Modern Roman" w:hAnsi="Latin Modern Roman"/>
                <w:b/>
                <w:bCs/>
                <w:color w:val="003876"/>
                <w:sz w:val="22"/>
                <w:szCs w:val="22"/>
              </w:rPr>
              <w:t xml:space="preserve">Nota del análisis</w:t>
            </w:r>
          </w:p>
          <w:p>
            <w:pPr>
              <w:spacing w:after="80" w:before="0" w:line="264"/>
              <w:jc w:val="both"/>
            </w:pPr>
            <w:r>
              <w:rPr>
                <w:rFonts w:ascii="Latin Modern Roman" w:cs="Latin Modern Roman" w:eastAsia="Latin Modern Roman" w:hAnsi="Latin Modern Roman"/>
                <w:sz w:val="21"/>
                <w:szCs w:val="21"/>
              </w:rPr>
              <w:t xml:space="preserve">Esta sección es resultado del análisis del documento de la actividad; no forma parte de su versión original. La prioridad es un juicio del análisis, no del equipo.</w:t>
            </w:r>
          </w:p>
        </w:tc>
      </w:tr>
    </w:tbl>
    <w:p>
      <w:pPr>
        <w:spacing w:after="80" w:before="0" w:line="200"/>
      </w:pPr>
    </w:p>
    <w:p>
      <w:pPr>
        <w:pStyle w:val="Heading2"/>
        <w:keepNext/>
        <w:spacing w:after="100" w:before="240" w:line="288"/>
      </w:pPr>
      <w:r>
        <w:rPr>
          <w:rFonts w:ascii="Latin Modern Roman" w:cs="Latin Modern Roman" w:eastAsia="Latin Modern Roman" w:hAnsi="Latin Modern Roman"/>
          <w:b/>
          <w:bCs/>
          <w:color w:val="003876"/>
          <w:sz w:val="24"/>
          <w:szCs w:val="24"/>
        </w:rPr>
        <w:t xml:space="preserve">9.1. Observaciones</w:t>
      </w:r>
    </w:p>
    <w:p>
      <w:pPr>
        <w:keepNext/>
        <w:spacing w:after="100" w:before="200" w:line="264"/>
      </w:pPr>
      <w:r>
        <w:rPr>
          <w:rFonts w:ascii="Latin Modern Roman" w:cs="Latin Modern Roman" w:eastAsia="Latin Modern Roman" w:hAnsi="Latin Modern Roman"/>
          <w:b/>
          <w:bCs/>
          <w:color w:val="003876"/>
          <w:sz w:val="20"/>
          <w:szCs w:val="20"/>
        </w:rPr>
        <w:t xml:space="preserve">Tabla 11. </w:t>
      </w:r>
      <w:r>
        <w:rPr>
          <w:rFonts w:ascii="Latin Modern Roman" w:cs="Latin Modern Roman" w:eastAsia="Latin Modern Roman" w:hAnsi="Latin Modern Roman"/>
          <w:sz w:val="20"/>
          <w:szCs w:val="20"/>
        </w:rPr>
        <w:t xml:space="preserve">Observaciones, prioridad y acción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00"/>
        <w:gridCol w:w="1300"/>
        <w:gridCol w:w="3700"/>
      </w:tblGrid>
      <w:tr>
        <w:trPr>
          <w:cantSplit/>
          <w:tblHeader/>
        </w:trPr>
        <w:tc>
          <w:tcPr>
            <w:tcW w:type="dxa" w:w="5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w:t>
            </w:r>
          </w:p>
        </w:tc>
        <w:tc>
          <w:tcPr>
            <w:tcW w:type="dxa" w:w="38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Observación</w:t>
            </w:r>
          </w:p>
        </w:tc>
        <w:tc>
          <w:tcPr>
            <w:tcW w:type="dxa" w:w="13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Prioridad</w:t>
            </w:r>
          </w:p>
        </w:tc>
        <w:tc>
          <w:tcPr>
            <w:tcW w:type="dxa" w:w="37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Acción sugerida</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O1</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El kappa de −,0345 con 28/30 acuerdos solo se obtiene, con dos categorías, si cada integrante marcó como no utilizable una referencia distinta (p₀ = 28/30; pₑ = (29/30)² + (1/30)² ≈ ,9356; κ ≈ −,0345). La actividad dice que ambos confirmaron el caso de Miskin et al., lo que daría un kappa distinto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Publicar la matriz 2 × 2 de clasificación, recalcular y aclarar si hubo más de dos categorías. Reportar además acuerdo positivo y negativo, PABAK o AC1 de Gwet</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O2</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El criterio «utilizable» no está definido. Que A (chat sin fuentes) y B alcancen 100 % sugiere que mide existencia o pertinencia y no fidelidad del contenido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Definir criterios operativos (existe, metadatos correctos, el contenido respalda la afirmación) y reportarlos por separado</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O3</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 n = 10 por tratamiento y un caso negativo, los intervalos de A/B [,722; 1,000] y C [,596; ,982] se solapan; no hay base para declarar diferencias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Media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Presentar el experimento como exploratorio o ampliar la muestra antes de comparar</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O4</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Resuelto en parte: la pregunta 2.16 ya dice 10 documentos, igual que la Tabla 8. Sigue pendiente que Walsh et al. y Furman no están en esa tabla</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Media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Registrar la versión del corpus con la fecha de carga de cada PDF</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O5</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Resuelto: las cuatro preguntas de abstención se probaron (Tabla 4), con abstención o calificación correcta en las cuatro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Ninguna; verificar en la sustentación los dos datos nuevos que aportó el sistema (especialista colombiana y Kreiner et al.)</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O6</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Verificaciones incompletas: 7.2 sin cotejo línea por línea; 8.3 solo por resumen; 7.1 coincide en parte; 7.3 sin fuente sustituta</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Alta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Leer los PDF completos y reemplazar la fuente de 7.3 o ajustar la diapositiva</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O7</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Referencias con autores incompletos («et al.»), «Preprints» como autor, revista equivocada y nombres no occidentales mal separados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Media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Completar la lista de autores desde la página oficial (APA 7 admite hasta 20)</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O8</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El formato de cita del protocolo, [Autor, Año] + (Documento, página), no es APA 7</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Baja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Cambiar a (Autor, año, p. X) en la v1.1 y registrarlo en el historial</w:t>
            </w:r>
          </w:p>
        </w:tc>
      </w:tr>
      <w:tr>
        <w:trPr>
          <w:cantSplit/>
        </w:trPr>
        <w:tc>
          <w:tcPr>
            <w:tcW w:type="dxa" w:w="5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O9</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Dos preguntas (2.2 y 2.3) se localizan por «línea del texto extraído», que no se puede ubicar en el PDF</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Baja</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Agregar la página del PDF</w:t>
            </w:r>
          </w:p>
        </w:tc>
      </w:tr>
      <w:tr>
        <w:trPr>
          <w:cantSplit/>
        </w:trPr>
        <w:tc>
          <w:tcPr>
            <w:tcW w:type="dxa" w:w="5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O10</w:t>
            </w:r>
          </w:p>
        </w:tc>
        <w:tc>
          <w:tcPr>
            <w:tcW w:type="dxa" w:w="38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El documento original tenía una frase truncada en el inventario y errores de tipeo (por ejemplo, «compensadadocumentando»)</w:t>
            </w:r>
          </w:p>
        </w:tc>
        <w:tc>
          <w:tcPr>
            <w:tcW w:type="dxa" w:w="13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Baja</w:t>
            </w:r>
          </w:p>
        </w:tc>
        <w:tc>
          <w:tcPr>
            <w:tcW w:type="dxa" w:w="37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Corregidos al consolidar este documento</w:t>
            </w:r>
          </w:p>
        </w:tc>
      </w:tr>
    </w:tbl>
    <w:p>
      <w:pPr>
        <w:spacing w:after="200" w:before="60" w:line="240"/>
      </w:pPr>
      <w:r>
        <w:rPr>
          <w:rFonts w:ascii="Latin Modern Roman" w:cs="Latin Modern Roman" w:eastAsia="Latin Modern Roman" w:hAnsi="Latin Modern Roman"/>
          <w:i/>
          <w:iCs/>
          <w:sz w:val="18"/>
          <w:szCs w:val="18"/>
        </w:rPr>
        <w:t xml:space="preserve">Nota. </w:t>
      </w:r>
      <w:r>
        <w:rPr>
          <w:rFonts w:ascii="Latin Modern Roman" w:cs="Latin Modern Roman" w:eastAsia="Latin Modern Roman" w:hAnsi="Latin Modern Roman"/>
          <w:sz w:val="18"/>
          <w:szCs w:val="18"/>
        </w:rPr>
        <w:t xml:space="preserve">Prioridad: Alta = afecta una conclusión del experimento o la validez de una cita; Media = afecta la solidez; Baja = forma.</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9.2. Qué permite concluir el experimento</w:t>
      </w:r>
    </w:p>
    <w:p>
      <w:pPr>
        <w:spacing w:after="140" w:before="0" w:line="288"/>
        <w:jc w:val="both"/>
      </w:pPr>
      <w:r>
        <w:rPr>
          <w:rFonts w:ascii="Latin Modern Roman" w:cs="Latin Modern Roman" w:eastAsia="Latin Modern Roman" w:hAnsi="Latin Modern Roman"/>
          <w:sz w:val="22"/>
          <w:szCs w:val="22"/>
        </w:rPr>
        <w:t xml:space="preserve">Los intervalos de Wilson se recalcularon y son correctos: ,722 a 1,000 para 10/10 y ,596 a ,982 para 9/10. Lo que el experimento sí muestra es un hallazgo cualitativo sólido, el de que un sistema de contexto cerrado puede citar un documento que no tiene cargado, y por eso conviene registrar la versión del corpus. Lo que no muestra es una ventaja o desventaja de ningún sistema: con un efecto techo (100 % en A y B) y un solo caso negativo, la prueba no discrimina. El caso de Miskin et al. se volvió a probar en la pregunta 2.13 una vez agregado su PDF al corpus, y el sistema citó los cuatro valores de kappa correctamente, lo que confirma que el fallo del tratamiento C no se repite con el corpus completo.</w:t>
      </w:r>
    </w:p>
    <w:p>
      <w:pPr>
        <w:pStyle w:val="Heading2"/>
        <w:keepNext/>
        <w:spacing w:after="100" w:before="240" w:line="288"/>
      </w:pPr>
      <w:r>
        <w:rPr>
          <w:rFonts w:ascii="Latin Modern Roman" w:cs="Latin Modern Roman" w:eastAsia="Latin Modern Roman" w:hAnsi="Latin Modern Roman"/>
          <w:b/>
          <w:bCs/>
          <w:color w:val="003876"/>
          <w:sz w:val="24"/>
          <w:szCs w:val="24"/>
        </w:rPr>
        <w:t xml:space="preserve">9.3. Acciones pendientes</w:t>
      </w:r>
    </w:p>
    <w:p>
      <w:pPr>
        <w:pStyle w:val="ListParagraph"/>
        <w:numPr>
          <w:ilvl w:val="0"/>
          <w:numId w:val="2"/>
        </w:numPr>
        <w:spacing w:after="60" w:before="0" w:line="288"/>
        <w:jc w:val="both"/>
      </w:pPr>
      <w:r>
        <w:rPr>
          <w:rFonts w:ascii="Latin Modern Roman" w:cs="Latin Modern Roman" w:eastAsia="Latin Modern Roman" w:hAnsi="Latin Modern Roman"/>
          <w:sz w:val="22"/>
          <w:szCs w:val="22"/>
        </w:rPr>
        <w:t xml:space="preserve">Reconstruir la matriz de clasificación y recalcular el acuerdo (O1).</w:t>
      </w:r>
    </w:p>
    <w:p>
      <w:pPr>
        <w:pStyle w:val="ListParagraph"/>
        <w:numPr>
          <w:ilvl w:val="0"/>
          <w:numId w:val="2"/>
        </w:numPr>
        <w:spacing w:after="60" w:before="0" w:line="288"/>
        <w:jc w:val="both"/>
      </w:pPr>
      <w:r>
        <w:rPr>
          <w:rFonts w:ascii="Latin Modern Roman" w:cs="Latin Modern Roman" w:eastAsia="Latin Modern Roman" w:hAnsi="Latin Modern Roman"/>
          <w:sz w:val="22"/>
          <w:szCs w:val="22"/>
        </w:rPr>
        <w:t xml:space="preserve">Cerrar las verificaciones de 7.1, 7.2, 7.3 y 8.3 (O6).</w:t>
      </w:r>
    </w:p>
    <w:p>
      <w:pPr>
        <w:pStyle w:val="ListParagraph"/>
        <w:numPr>
          <w:ilvl w:val="0"/>
          <w:numId w:val="2"/>
        </w:numPr>
        <w:spacing w:after="60" w:before="0" w:line="288"/>
        <w:jc w:val="both"/>
      </w:pPr>
      <w:r>
        <w:rPr>
          <w:rFonts w:ascii="Latin Modern Roman" w:cs="Latin Modern Roman" w:eastAsia="Latin Modern Roman" w:hAnsi="Latin Modern Roman"/>
          <w:sz w:val="22"/>
          <w:szCs w:val="22"/>
        </w:rPr>
        <w:t xml:space="preserve">Completar autores y títulos de la lista de referencias (O7).</w:t>
      </w:r>
    </w:p>
    <w:p>
      <w:pPr>
        <w:pStyle w:val="ListParagraph"/>
        <w:numPr>
          <w:ilvl w:val="0"/>
          <w:numId w:val="2"/>
        </w:numPr>
        <w:spacing w:after="60" w:before="0" w:line="288"/>
        <w:jc w:val="both"/>
      </w:pPr>
      <w:r>
        <w:rPr>
          <w:rFonts w:ascii="Latin Modern Roman" w:cs="Latin Modern Roman" w:eastAsia="Latin Modern Roman" w:hAnsi="Latin Modern Roman"/>
          <w:sz w:val="22"/>
          <w:szCs w:val="22"/>
        </w:rPr>
        <w:t xml:space="preserve">Emitir la v1.1 del protocolo con cita APA 7 (O8).</w:t>
      </w:r>
    </w:p>
    <w:p>
      <w:pPr>
        <w:pStyle w:val="Heading1"/>
        <w:keepNext/>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10. Declaración del uso de IA</w:t>
      </w:r>
    </w:p>
    <w:p>
      <w:pPr>
        <w:spacing w:after="140" w:before="0" w:line="288"/>
        <w:jc w:val="both"/>
      </w:pPr>
      <w:r>
        <w:rPr>
          <w:rFonts w:ascii="Latin Modern Roman" w:cs="Latin Modern Roman" w:eastAsia="Latin Modern Roman" w:hAnsi="Latin Modern Roman"/>
          <w:sz w:val="22"/>
          <w:szCs w:val="22"/>
        </w:rPr>
        <w:t xml:space="preserve">Se usaron Google Gemini y Claude como herramientas de apoyo para hacer el código ejecutable y resolver consultas técnicas. Lo que arrojaron no se incorporó de inmediato: se revisó primero mediante la ejecución del código y la revisión de fuentes y recursos. El agente de IA no emitió diagnósticos médicos ni recomendaciones clínicas; solo hizo análisis bioestadístico de datos según los requerimientos.</w:t>
      </w:r>
    </w:p>
    <w:p>
      <w:pPr>
        <w:pStyle w:val="Heading1"/>
        <w:keepNext/>
        <w:pageBreakBefore/>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Referencias</w:t>
      </w:r>
    </w:p>
    <w:p>
      <w:pPr>
        <w:spacing w:after="200" w:before="0" w:line="240"/>
      </w:pPr>
      <w:r>
        <w:rPr>
          <w:rFonts w:ascii="Latin Modern Roman" w:cs="Latin Modern Roman" w:eastAsia="Latin Modern Roman" w:hAnsi="Latin Modern Roman"/>
          <w:i/>
          <w:iCs/>
          <w:sz w:val="22"/>
          <w:szCs w:val="22"/>
        </w:rPr>
        <w:t xml:space="preserve">Nota. </w:t>
      </w:r>
      <w:r>
        <w:rPr>
          <w:rFonts w:ascii="Latin Modern Roman" w:cs="Latin Modern Roman" w:eastAsia="Latin Modern Roman" w:hAnsi="Latin Modern Roman"/>
          <w:sz w:val="22"/>
          <w:szCs w:val="22"/>
        </w:rPr>
        <w:t xml:space="preserve">Los datos entre corchetes no figuran en el documento de la actividad y deben completarse desde la página oficial de cada artículo antes de entregar (observación O7). La revista y el volumen de Cai et al., Richards et al., Trento et al. y Zhao et al. se infieren del DOI y del nombre del archivo.</w:t>
      </w:r>
    </w:p>
    <w:p>
      <w:pPr>
        <w:spacing w:after="120" w:before="0" w:line="288"/>
        <w:ind w:left="720" w:hanging="720"/>
      </w:pPr>
      <w:r>
        <w:rPr>
          <w:rFonts w:ascii="Latin Modern Roman" w:cs="Latin Modern Roman" w:eastAsia="Latin Modern Roman" w:hAnsi="Latin Modern Roman"/>
        </w:rPr>
        <w:t xml:space="preserve">Abdelrahman, [autores y título por completar]. (2026). </w:t>
      </w:r>
      <w:r>
        <w:rPr>
          <w:rFonts w:ascii="Latin Modern Roman" w:cs="Latin Modern Roman" w:eastAsia="Latin Modern Roman" w:hAnsi="Latin Modern Roman"/>
          <w:i/>
          <w:iCs/>
        </w:rPr>
        <w:t xml:space="preserve">Journal of Smart Algorithms and Applications</w:t>
      </w:r>
      <w:r>
        <w:rPr>
          <w:rFonts w:ascii="Latin Modern Roman" w:cs="Latin Modern Roman" w:eastAsia="Latin Modern Roman" w:hAnsi="Latin Modern Roman"/>
        </w:rPr>
        <w:t xml:space="preserve">. https://doi.org/10.66279/r8h6j935</w:t>
      </w:r>
    </w:p>
    <w:p>
      <w:pPr>
        <w:spacing w:after="120" w:before="0" w:line="288"/>
        <w:ind w:left="720" w:hanging="720"/>
      </w:pPr>
      <w:r>
        <w:rPr>
          <w:rFonts w:ascii="Latin Modern Roman" w:cs="Latin Modern Roman" w:eastAsia="Latin Modern Roman" w:hAnsi="Latin Modern Roman"/>
        </w:rPr>
        <w:t xml:space="preserve">Al-Tameemi, H. N., [coautores y título por completar]. (2017). </w:t>
      </w:r>
      <w:r>
        <w:rPr>
          <w:rFonts w:ascii="Latin Modern Roman" w:cs="Latin Modern Roman" w:eastAsia="Latin Modern Roman" w:hAnsi="Latin Modern Roman"/>
          <w:i/>
          <w:iCs/>
        </w:rPr>
        <w:t xml:space="preserve">Asian Spine Journal, 11</w:t>
      </w:r>
      <w:r>
        <w:rPr>
          <w:rFonts w:ascii="Latin Modern Roman" w:cs="Latin Modern Roman" w:eastAsia="Latin Modern Roman" w:hAnsi="Latin Modern Roman"/>
        </w:rPr>
        <w:t xml:space="preserve">(2), 198–[…]. https://doi.org/10.4184/asj.2017.11.2.198</w:t>
      </w:r>
    </w:p>
    <w:p>
      <w:pPr>
        <w:spacing w:after="120" w:before="0" w:line="288"/>
        <w:ind w:left="720" w:hanging="720"/>
      </w:pPr>
      <w:r>
        <w:rPr>
          <w:rFonts w:ascii="Latin Modern Roman" w:cs="Latin Modern Roman" w:eastAsia="Latin Modern Roman" w:hAnsi="Latin Modern Roman"/>
        </w:rPr>
        <w:t xml:space="preserve">Bagley, C., [coautores y título por completar]. (2019). </w:t>
      </w:r>
      <w:r>
        <w:rPr>
          <w:rFonts w:ascii="Latin Modern Roman" w:cs="Latin Modern Roman" w:eastAsia="Latin Modern Roman" w:hAnsi="Latin Modern Roman"/>
          <w:i/>
          <w:iCs/>
        </w:rPr>
        <w:t xml:space="preserve">F1000Research</w:t>
      </w:r>
      <w:r>
        <w:rPr>
          <w:rFonts w:ascii="Latin Modern Roman" w:cs="Latin Modern Roman" w:eastAsia="Latin Modern Roman" w:hAnsi="Latin Modern Roman"/>
        </w:rPr>
        <w:t xml:space="preserve">. https://doi.org/10.12688/f1000research.16082.1</w:t>
      </w:r>
    </w:p>
    <w:p>
      <w:pPr>
        <w:spacing w:after="120" w:before="0" w:line="288"/>
        <w:ind w:left="720" w:hanging="720"/>
      </w:pPr>
      <w:r>
        <w:rPr>
          <w:rFonts w:ascii="Latin Modern Roman" w:cs="Latin Modern Roman" w:eastAsia="Latin Modern Roman" w:hAnsi="Latin Modern Roman"/>
        </w:rPr>
        <w:t xml:space="preserve">Batra, [autores y título por completar]. (2025). </w:t>
      </w:r>
      <w:r>
        <w:rPr>
          <w:rFonts w:ascii="Latin Modern Roman" w:cs="Latin Modern Roman" w:eastAsia="Latin Modern Roman" w:hAnsi="Latin Modern Roman"/>
          <w:i/>
          <w:iCs/>
        </w:rPr>
        <w:t xml:space="preserve">arXiv</w:t>
      </w:r>
      <w:r>
        <w:rPr>
          <w:rFonts w:ascii="Latin Modern Roman" w:cs="Latin Modern Roman" w:eastAsia="Latin Modern Roman" w:hAnsi="Latin Modern Roman"/>
        </w:rPr>
        <w:t xml:space="preserve">. https://arxiv.org/abs/2503.01634</w:t>
      </w:r>
    </w:p>
    <w:p>
      <w:pPr>
        <w:spacing w:after="120" w:before="0" w:line="288"/>
        <w:ind w:left="720" w:hanging="720"/>
      </w:pPr>
      <w:r>
        <w:rPr>
          <w:rFonts w:ascii="Latin Modern Roman" w:cs="Latin Modern Roman" w:eastAsia="Latin Modern Roman" w:hAnsi="Latin Modern Roman"/>
        </w:rPr>
        <w:t xml:space="preserve">Cai, [autores y título por completar]. (2020). </w:t>
      </w:r>
      <w:r>
        <w:rPr>
          <w:rFonts w:ascii="Latin Modern Roman" w:cs="Latin Modern Roman" w:eastAsia="Latin Modern Roman" w:hAnsi="Latin Modern Roman"/>
          <w:i/>
          <w:iCs/>
        </w:rPr>
        <w:t xml:space="preserve">Orthopaedic Surgery, 12</w:t>
      </w:r>
      <w:r>
        <w:rPr>
          <w:rFonts w:ascii="Latin Modern Roman" w:cs="Latin Modern Roman" w:eastAsia="Latin Modern Roman" w:hAnsi="Latin Modern Roman"/>
        </w:rPr>
        <w:t xml:space="preserve">, 917–[…]. https://doi.org/10.1111/os.12703</w:t>
      </w:r>
    </w:p>
    <w:p>
      <w:pPr>
        <w:spacing w:after="120" w:before="0" w:line="288"/>
        <w:ind w:left="720" w:hanging="720"/>
      </w:pPr>
      <w:r>
        <w:rPr>
          <w:rFonts w:ascii="Latin Modern Roman" w:cs="Latin Modern Roman" w:eastAsia="Latin Modern Roman" w:hAnsi="Latin Modern Roman"/>
        </w:rPr>
        <w:t xml:space="preserve">Chai, Z., Liu, Qin, Zhao, &amp; Shi [iniciales y título por completar]. (2026). </w:t>
      </w:r>
      <w:r>
        <w:rPr>
          <w:rFonts w:ascii="Latin Modern Roman" w:cs="Latin Modern Roman" w:eastAsia="Latin Modern Roman" w:hAnsi="Latin Modern Roman"/>
          <w:i/>
          <w:iCs/>
        </w:rPr>
        <w:t xml:space="preserve">Frontiers in Medicine</w:t>
      </w:r>
      <w:r>
        <w:rPr>
          <w:rFonts w:ascii="Latin Modern Roman" w:cs="Latin Modern Roman" w:eastAsia="Latin Modern Roman" w:hAnsi="Latin Modern Roman"/>
        </w:rPr>
        <w:t xml:space="preserve">. https://doi.org/10.3389/fmed.2026.1848548</w:t>
      </w:r>
    </w:p>
    <w:p>
      <w:pPr>
        <w:spacing w:after="120" w:before="0" w:line="288"/>
        <w:ind w:left="720" w:hanging="720"/>
      </w:pPr>
      <w:r>
        <w:rPr>
          <w:rFonts w:ascii="Latin Modern Roman" w:cs="Latin Modern Roman" w:eastAsia="Latin Modern Roman" w:hAnsi="Latin Modern Roman"/>
        </w:rPr>
        <w:t xml:space="preserve">Furman, M. B. (2024). </w:t>
      </w:r>
      <w:r>
        <w:rPr>
          <w:rFonts w:ascii="Latin Modern Roman" w:cs="Latin Modern Roman" w:eastAsia="Latin Modern Roman" w:hAnsi="Latin Modern Roman"/>
          <w:i/>
          <w:iCs/>
        </w:rPr>
        <w:t xml:space="preserve">Spinal stenosis</w:t>
      </w:r>
      <w:r>
        <w:rPr>
          <w:rFonts w:ascii="Latin Modern Roman" w:cs="Latin Modern Roman" w:eastAsia="Latin Modern Roman" w:hAnsi="Latin Modern Roman"/>
        </w:rPr>
        <w:t xml:space="preserve">. Medscape. [Fuente retirada de la diapositiva 7.3 por ser terciaria]</w:t>
      </w:r>
    </w:p>
    <w:p>
      <w:pPr>
        <w:spacing w:after="120" w:before="0" w:line="288"/>
        <w:ind w:left="720" w:hanging="720"/>
      </w:pPr>
      <w:r>
        <w:rPr>
          <w:rFonts w:ascii="Latin Modern Roman" w:cs="Latin Modern Roman" w:eastAsia="Latin Modern Roman" w:hAnsi="Latin Modern Roman"/>
        </w:rPr>
        <w:t xml:space="preserve">Miskin, N., Isaac, Lu, Makhni, Sarno, Smith, Zampini, &amp; Mandell [iniciales y título por completar]. (2021). </w:t>
      </w:r>
      <w:r>
        <w:rPr>
          <w:rFonts w:ascii="Latin Modern Roman" w:cs="Latin Modern Roman" w:eastAsia="Latin Modern Roman" w:hAnsi="Latin Modern Roman"/>
          <w:i/>
          <w:iCs/>
        </w:rPr>
        <w:t xml:space="preserve">Pain Medicine</w:t>
      </w:r>
      <w:r>
        <w:rPr>
          <w:rFonts w:ascii="Latin Modern Roman" w:cs="Latin Modern Roman" w:eastAsia="Latin Modern Roman" w:hAnsi="Latin Modern Roman"/>
        </w:rPr>
        <w:t xml:space="preserve">. https://doi.org/10.1093/pm/pnab098</w:t>
      </w:r>
    </w:p>
    <w:p>
      <w:pPr>
        <w:spacing w:after="120" w:before="0" w:line="288"/>
        <w:ind w:left="720" w:hanging="720"/>
      </w:pPr>
      <w:r>
        <w:rPr>
          <w:rFonts w:ascii="Latin Modern Roman" w:cs="Latin Modern Roman" w:eastAsia="Latin Modern Roman" w:hAnsi="Latin Modern Roman"/>
        </w:rPr>
        <w:t xml:space="preserve">Richards, [coautores y título por completar]. (2026). </w:t>
      </w:r>
      <w:r>
        <w:rPr>
          <w:rFonts w:ascii="Latin Modern Roman" w:cs="Latin Modern Roman" w:eastAsia="Latin Modern Roman" w:hAnsi="Latin Modern Roman"/>
          <w:i/>
          <w:iCs/>
        </w:rPr>
        <w:t xml:space="preserve">Radiology: Artificial Intelligence</w:t>
      </w:r>
      <w:r>
        <w:rPr>
          <w:rFonts w:ascii="Latin Modern Roman" w:cs="Latin Modern Roman" w:eastAsia="Latin Modern Roman" w:hAnsi="Latin Modern Roman"/>
        </w:rPr>
        <w:t xml:space="preserve">. https://doi.org/10.1148/ryai.250480</w:t>
      </w:r>
    </w:p>
    <w:p>
      <w:pPr>
        <w:spacing w:after="120" w:before="0" w:line="288"/>
        <w:ind w:left="720" w:hanging="720"/>
      </w:pPr>
      <w:r>
        <w:rPr>
          <w:rFonts w:ascii="Latin Modern Roman" w:cs="Latin Modern Roman" w:eastAsia="Latin Modern Roman" w:hAnsi="Latin Modern Roman"/>
        </w:rPr>
        <w:t xml:space="preserve">Trento, [autores y título por completar]. (2025). </w:t>
      </w:r>
      <w:r>
        <w:rPr>
          <w:rFonts w:ascii="Latin Modern Roman" w:cs="Latin Modern Roman" w:eastAsia="Latin Modern Roman" w:hAnsi="Latin Modern Roman"/>
          <w:i/>
          <w:iCs/>
        </w:rPr>
        <w:t xml:space="preserve">Medicina, 61</w:t>
      </w:r>
      <w:r>
        <w:rPr>
          <w:rFonts w:ascii="Latin Modern Roman" w:cs="Latin Modern Roman" w:eastAsia="Latin Modern Roman" w:hAnsi="Latin Modern Roman"/>
        </w:rPr>
        <w:t xml:space="preserve">. https://doi.org/10.3390/medicina61081400</w:t>
      </w:r>
    </w:p>
    <w:p>
      <w:pPr>
        <w:spacing w:after="120" w:before="0" w:line="288"/>
        <w:ind w:left="720" w:hanging="720"/>
      </w:pPr>
      <w:r>
        <w:rPr>
          <w:rFonts w:ascii="Latin Modern Roman" w:cs="Latin Modern Roman" w:eastAsia="Latin Modern Roman" w:hAnsi="Latin Modern Roman"/>
        </w:rPr>
        <w:t xml:space="preserve">Trînc, E. C., Ancuți, C., Ancuți, C., &amp; Iacob, E. R. (2026). [Título por completar]. </w:t>
      </w:r>
      <w:r>
        <w:rPr>
          <w:rFonts w:ascii="Latin Modern Roman" w:cs="Latin Modern Roman" w:eastAsia="Latin Modern Roman" w:hAnsi="Latin Modern Roman"/>
          <w:i/>
          <w:iCs/>
        </w:rPr>
        <w:t xml:space="preserve">Preprints</w:t>
      </w:r>
      <w:r>
        <w:rPr>
          <w:rFonts w:ascii="Latin Modern Roman" w:cs="Latin Modern Roman" w:eastAsia="Latin Modern Roman" w:hAnsi="Latin Modern Roman"/>
        </w:rPr>
        <w:t xml:space="preserve">. https://doi.org/10.20944/preprints202608.1250.v1</w:t>
      </w:r>
    </w:p>
    <w:p>
      <w:pPr>
        <w:spacing w:after="120" w:before="0" w:line="288"/>
        <w:ind w:left="720" w:hanging="720"/>
      </w:pPr>
      <w:r>
        <w:rPr>
          <w:rFonts w:ascii="Latin Modern Roman" w:cs="Latin Modern Roman" w:eastAsia="Latin Modern Roman" w:hAnsi="Latin Modern Roman"/>
        </w:rPr>
        <w:t xml:space="preserve">Walsh, P. J., Lee, Lipetz, &amp; Walz [iniciales y título por completar]. (2026). </w:t>
      </w:r>
      <w:r>
        <w:rPr>
          <w:rFonts w:ascii="Latin Modern Roman" w:cs="Latin Modern Roman" w:eastAsia="Latin Modern Roman" w:hAnsi="Latin Modern Roman"/>
          <w:i/>
          <w:iCs/>
        </w:rPr>
        <w:t xml:space="preserve">Academic Radiology</w:t>
      </w:r>
      <w:r>
        <w:rPr>
          <w:rFonts w:ascii="Latin Modern Roman" w:cs="Latin Modern Roman" w:eastAsia="Latin Modern Roman" w:hAnsi="Latin Modern Roman"/>
        </w:rPr>
        <w:t xml:space="preserve">.</w:t>
      </w:r>
    </w:p>
    <w:p>
      <w:pPr>
        <w:spacing w:after="120" w:before="0" w:line="288"/>
        <w:ind w:left="720" w:hanging="720"/>
      </w:pPr>
      <w:r>
        <w:rPr>
          <w:rFonts w:ascii="Latin Modern Roman" w:cs="Latin Modern Roman" w:eastAsia="Latin Modern Roman" w:hAnsi="Latin Modern Roman"/>
        </w:rPr>
        <w:t xml:space="preserve">Zhao, [autores y título por completar]. (2025). </w:t>
      </w:r>
      <w:r>
        <w:rPr>
          <w:rFonts w:ascii="Latin Modern Roman" w:cs="Latin Modern Roman" w:eastAsia="Latin Modern Roman" w:hAnsi="Latin Modern Roman"/>
          <w:i/>
          <w:iCs/>
        </w:rPr>
        <w:t xml:space="preserve">European Spine Journal</w:t>
      </w:r>
      <w:r>
        <w:rPr>
          <w:rFonts w:ascii="Latin Modern Roman" w:cs="Latin Modern Roman" w:eastAsia="Latin Modern Roman" w:hAnsi="Latin Modern Roman"/>
        </w:rPr>
        <w:t xml:space="preserve">. https://doi.org/10.1007/s00586-025-09179-z</w:t>
      </w:r>
    </w:p>
    <w:p>
      <w:pPr>
        <w:pStyle w:val="Heading1"/>
        <w:keepNext/>
        <w:pageBreakBefore/>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Anexo A</w:t>
      </w:r>
    </w:p>
    <w:p>
      <w:pPr>
        <w:spacing w:line="480"/>
        <w:jc w:val="center"/>
      </w:pPr>
      <w:r>
        <w:rPr>
          <w:rFonts w:ascii="Latin Modern Roman" w:cs="Latin Modern Roman" w:eastAsia="Latin Modern Roman" w:hAnsi="Latin Modern Roman"/>
          <w:b/>
          <w:bCs/>
          <w:sz w:val="24"/>
          <w:szCs w:val="24"/>
        </w:rPr>
        <w:t xml:space="preserve">Glosario</w:t>
      </w:r>
    </w:p>
    <w:p>
      <w:pPr>
        <w:keepNext/>
        <w:spacing w:after="100" w:before="200" w:line="264"/>
      </w:pPr>
      <w:r>
        <w:rPr>
          <w:rFonts w:ascii="Latin Modern Roman" w:cs="Latin Modern Roman" w:eastAsia="Latin Modern Roman" w:hAnsi="Latin Modern Roman"/>
          <w:b/>
          <w:bCs/>
          <w:color w:val="003876"/>
          <w:sz w:val="20"/>
          <w:szCs w:val="20"/>
        </w:rPr>
        <w:t xml:space="preserve">Tabla A1. </w:t>
      </w:r>
      <w:r>
        <w:rPr>
          <w:rFonts w:ascii="Latin Modern Roman" w:cs="Latin Modern Roman" w:eastAsia="Latin Modern Roman" w:hAnsi="Latin Modern Roman"/>
          <w:sz w:val="20"/>
          <w:szCs w:val="20"/>
        </w:rPr>
        <w:t xml:space="preserve">Términos usados en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Término</w:t>
            </w:r>
          </w:p>
        </w:tc>
        <w:tc>
          <w:tcPr>
            <w:tcW w:type="dxa" w:w="69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Significado aquí</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Contexto cerrado</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Sistema que responde solo con los documentos que el usuario le carga</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Corpus</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Conjunto de documentos del proyecto contra el cual se verifican las respuestas</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Tratamiento</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Cada condición comparada en el experimento (A, B o C)</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Utilizable</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Referencia que los clasificadores consideraron aprovechable; el criterio exacto no está definido en la actividad (O2)</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Abstención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Respuesta explícita de que la información no está en las fuentes, en lugar de inventarla</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Trazabilidad</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Posibilidad de seguir cada afirmación hasta su fuente y comprobar que la respalda</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Fuente terciaria</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Enciclopedia o resumen que compila estudios originales (por ejemplo, Medscape)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Preprint</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Manuscrito difundido antes de su revisión por pares</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Intervalo de Wilson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Intervalo de confianza para una proporción, apropiado con muestras pequeñas y proporciones cercanas a 0 o 1</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 de Cohen</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Medida de acuerdo entre dos clasificadores corregida por el azar</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Paradoja del kappa</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 bajo o negativo pese a un acuerdo bruto alto cuando casi todos los casos caen en una categoría</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Efecto techo</w:t>
            </w:r>
          </w:p>
        </w:tc>
        <w:tc>
          <w:tcPr>
            <w:tcW w:type="dxa" w:w="69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Valores cercanos al máximo posible que impiden distinguir entre grupos</w:t>
            </w:r>
          </w:p>
        </w:tc>
      </w:tr>
      <w:tr>
        <w:trPr>
          <w:cantSplit/>
        </w:trPr>
        <w:tc>
          <w:tcPr>
            <w:tcW w:type="dxa" w:w="24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DOI</w:t>
            </w:r>
          </w:p>
        </w:tc>
        <w:tc>
          <w:tcPr>
            <w:tcW w:type="dxa" w:w="69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Identificador permanente de un artículo</w:t>
            </w:r>
          </w:p>
        </w:tc>
      </w:tr>
    </w:tbl>
    <w:p>
      <w:pPr>
        <w:pStyle w:val="Heading1"/>
        <w:keepNext/>
        <w:pageBreakBefore/>
        <w:pBdr>
          <w:bottom w:val="single" w:color="FDB913" w:sz="8" w:space="3"/>
        </w:pBdr>
        <w:spacing w:after="160" w:before="360" w:line="288"/>
      </w:pPr>
      <w:r>
        <w:rPr>
          <w:rFonts w:ascii="Latin Modern Roman" w:cs="Latin Modern Roman" w:eastAsia="Latin Modern Roman" w:hAnsi="Latin Modern Roman"/>
          <w:b/>
          <w:bCs/>
          <w:color w:val="003876"/>
          <w:sz w:val="28"/>
          <w:szCs w:val="28"/>
        </w:rPr>
        <w:t xml:space="preserve">Anexo B</w:t>
      </w:r>
    </w:p>
    <w:p>
      <w:pPr>
        <w:spacing w:line="480"/>
        <w:jc w:val="center"/>
      </w:pPr>
      <w:r>
        <w:rPr>
          <w:rFonts w:ascii="Latin Modern Roman" w:cs="Latin Modern Roman" w:eastAsia="Latin Modern Roman" w:hAnsi="Latin Modern Roman"/>
          <w:b/>
          <w:bCs/>
          <w:sz w:val="24"/>
          <w:szCs w:val="24"/>
        </w:rPr>
        <w:t xml:space="preserve">Cifras clave</w:t>
      </w:r>
    </w:p>
    <w:p>
      <w:pPr>
        <w:keepNext/>
        <w:spacing w:after="100" w:before="200" w:line="264"/>
      </w:pPr>
      <w:r>
        <w:rPr>
          <w:rFonts w:ascii="Latin Modern Roman" w:cs="Latin Modern Roman" w:eastAsia="Latin Modern Roman" w:hAnsi="Latin Modern Roman"/>
          <w:b/>
          <w:bCs/>
          <w:color w:val="003876"/>
          <w:sz w:val="20"/>
          <w:szCs w:val="20"/>
        </w:rPr>
        <w:t xml:space="preserve">Tabla B1. </w:t>
      </w:r>
      <w:r>
        <w:rPr>
          <w:rFonts w:ascii="Latin Modern Roman" w:cs="Latin Modern Roman" w:eastAsia="Latin Modern Roman" w:hAnsi="Latin Modern Roman"/>
          <w:sz w:val="20"/>
          <w:szCs w:val="20"/>
        </w:rPr>
        <w:t xml:space="preserve">Cifras clave y su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cantSplit/>
          <w:tblHeader/>
        </w:trPr>
        <w:tc>
          <w:tcPr>
            <w:tcW w:type="dxa" w:w="42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Cifra</w:t>
            </w:r>
          </w:p>
        </w:tc>
        <w:tc>
          <w:tcPr>
            <w:tcW w:type="dxa" w:w="300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Valor</w:t>
            </w:r>
          </w:p>
        </w:tc>
        <w:tc>
          <w:tcPr>
            <w:tcW w:type="dxa" w:w="2160"/>
            <w:tcBorders>
              <w:top w:val="single" w:color="003876" w:sz="8"/>
              <w:left w:val="none" w:color="FFFFFF" w:sz="0"/>
              <w:bottom w:val="single" w:color="003876" w:sz="4"/>
              <w:right w:val="none" w:color="FFFFFF" w:sz="0"/>
            </w:tcBorders>
            <w:tcMar>
              <w:top w:type="dxa" w:w="60"/>
              <w:left w:type="dxa" w:w="80"/>
              <w:bottom w:type="dxa" w:w="60"/>
              <w:right w:type="dxa" w:w="80"/>
            </w:tcMar>
            <w:vAlign w:val="bottom"/>
          </w:tcPr>
          <w:p>
            <w:pPr>
              <w:spacing w:after="20" w:before="0" w:line="252"/>
              <w:jc w:val="left"/>
            </w:pPr>
            <w:r>
              <w:rPr>
                <w:rFonts w:ascii="Latin Modern Roman" w:cs="Latin Modern Roman" w:eastAsia="Latin Modern Roman" w:hAnsi="Latin Modern Roman"/>
                <w:b/>
                <w:bCs/>
                <w:color w:val="003876"/>
                <w:sz w:val="20"/>
                <w:szCs w:val="20"/>
              </w:rPr>
              <w:t xml:space="preserve">Sección</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Fallos documentados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6</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3</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Preguntas del banco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18 (14 + 4)</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4</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Referencias clasificadas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30</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Acuerdo bruto entre clasificadores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93,3 % (28/30)</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Kappa de Cohen global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−,0345 (p = ,85)</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5, 9</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Proporción utilizable A / B / C</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100 % / 100 % / 90 %</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IC de Wilson de C</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[,596; ,982]</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5, 9</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Fuentes del corpus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7</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Afirmaciones trazadas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8</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7</w:t>
            </w:r>
          </w:p>
        </w:tc>
      </w:tr>
      <w:tr>
        <w:trPr>
          <w:cantSplit/>
        </w:trPr>
        <w:tc>
          <w:tcPr>
            <w:tcW w:type="dxa" w:w="4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Versión del protocolo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v1.0 (27-sep-2026)</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8</w:t>
            </w:r>
          </w:p>
        </w:tc>
      </w:tr>
      <w:tr>
        <w:trPr>
          <w:cantSplit/>
        </w:trPr>
        <w:tc>
          <w:tcPr>
            <w:tcW w:type="dxa" w:w="42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Observaciones del análisis</w:t>
            </w:r>
          </w:p>
        </w:tc>
        <w:tc>
          <w:tcPr>
            <w:tcW w:type="dxa" w:w="300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10</w:t>
            </w:r>
          </w:p>
        </w:tc>
        <w:tc>
          <w:tcPr>
            <w:tcW w:type="dxa" w:w="2160"/>
            <w:tcBorders>
              <w:top w:val="none" w:color="FFFFFF" w:sz="0"/>
              <w:left w:val="none" w:color="FFFFFF" w:sz="0"/>
              <w:bottom w:val="single" w:color="003876" w:sz="8"/>
              <w:right w:val="none" w:color="FFFFFF" w:sz="0"/>
            </w:tcBorders>
            <w:tcMar>
              <w:top w:type="dxa" w:w="60"/>
              <w:left w:type="dxa" w:w="80"/>
              <w:bottom w:type="dxa" w:w="60"/>
              <w:right w:type="dxa" w:w="80"/>
            </w:tcMar>
            <w:vAlign w:val="top"/>
          </w:tcPr>
          <w:p>
            <w:pPr>
              <w:spacing w:after="20" w:before="0" w:line="252"/>
              <w:jc w:val="left"/>
            </w:pPr>
            <w:r>
              <w:rPr>
                <w:rFonts w:ascii="Latin Modern Roman" w:cs="Latin Modern Roman" w:eastAsia="Latin Modern Roman" w:hAnsi="Latin Modern Roman"/>
                <w:sz w:val="20"/>
                <w:szCs w:val="20"/>
              </w:rPr>
              <w:t xml:space="preserve">9</w:t>
            </w:r>
          </w:p>
        </w:tc>
      </w:tr>
    </w:tbl>
    <w:sectPr>
      <w:headerReference w:type="default" r:id="rId7"/>
      <w:footerReference w:type="default" r:id="rId8"/>
      <w:type w:val="nextPage"/>
      <w:pgSz w:w="12240" w:h="15840" w:orient="portrait"/>
      <w:pgMar w:top="130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876" w:sz="6" w:space="4"/>
      </w:pBdr>
      <w:tabs>
        <w:tab w:val="right" w:pos="9360"/>
      </w:tabs>
    </w:pPr>
    <w:r>
      <w:rPr>
        <w:rFonts w:ascii="Latin Modern Roman" w:cs="Latin Modern Roman" w:eastAsia="Latin Modern Roman" w:hAnsi="Latin Modern Roman"/>
        <w:color w:val="003876"/>
        <w:sz w:val="18"/>
        <w:szCs w:val="18"/>
      </w:rPr>
      <w:t xml:space="preserve">Universidad Santo Tomás · Consultoría 2026-II</w:t>
    </w:r>
    <w:r>
      <w:rPr>
        <w:rFonts w:ascii="Latin Modern Roman" w:cs="Latin Modern Roman" w:eastAsia="Latin Modern Roman" w:hAnsi="Latin Modern Roman"/>
        <w:b/>
        <w:bCs/>
        <w:color w:val="003876"/>
        <w:sz w:val="20"/>
        <w:szCs w:val="20"/>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4C4" w:sz="4" w:space="4"/>
      </w:pBdr>
    </w:pPr>
    <w:r>
      <w:rPr>
        <w:rFonts w:ascii="Latin Modern Roman" w:cs="Latin Modern Roman" w:eastAsia="Latin Modern Roman" w:hAnsi="Latin Modern Roman"/>
        <w:i/>
        <w:iCs/>
        <w:color w:val="003876"/>
        <w:sz w:val="18"/>
        <w:szCs w:val="18"/>
      </w:rPr>
      <w:t xml:space="preserve">Revisión de fuentes — Actividad Corte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38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in Modern Roman" w:cs="Latin Modern Roman" w:eastAsia="Latin Modern Roman" w:hAnsi="Latin Modern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Latin Modern Roman" w:cs="Latin Modern Roman" w:eastAsia="Latin Modern Roman" w:hAnsi="Latin Modern Roman"/>
      <w:b/>
      <w:bCs/>
      <w:color w:val="003876"/>
      <w:sz w:val="28"/>
      <w:szCs w:val="28"/>
    </w:rPr>
  </w:style>
  <w:style w:type="paragraph" w:styleId="Heading2">
    <w:name w:val="Heading 2"/>
    <w:basedOn w:val="Normal"/>
    <w:next w:val="Normal"/>
    <w:qFormat/>
    <w:pPr>
      <w:outlineLvl w:val="1"/>
    </w:pPr>
    <w:rPr>
      <w:rFonts w:ascii="Latin Modern Roman" w:cs="Latin Modern Roman" w:eastAsia="Latin Modern Roman" w:hAnsi="Latin Modern Roman"/>
      <w:b/>
      <w:bCs/>
      <w:color w:val="003876"/>
      <w:sz w:val="24"/>
      <w:szCs w:val="24"/>
    </w:rPr>
  </w:style>
  <w:style w:type="paragraph" w:styleId="Heading3">
    <w:name w:val="Heading 3"/>
    <w:basedOn w:val="Normal"/>
    <w:next w:val="Normal"/>
    <w:qFormat/>
    <w:pPr>
      <w:outlineLvl w:val="2"/>
    </w:pPr>
    <w:rPr>
      <w:rFonts w:ascii="Latin Modern Roman" w:cs="Latin Modern Roman" w:eastAsia="Latin Modern Roman" w:hAnsi="Latin Modern Roman"/>
      <w:b/>
      <w:bCs/>
      <w:color w:val="0038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ca85dce92a5761cc9f7a19a2b4b4f1f6fea6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 fuentes: evaluación de sistemas de IA y trazabilidad del estado del arte</dc:title>
  <dc:creator>Juan David Cacua y Camilo Velandia</dc:creator>
  <cp:lastModifiedBy>Un-named</cp:lastModifiedBy>
  <cp:revision>1</cp:revision>
  <dcterms:created xsi:type="dcterms:W3CDTF">2026-10-06T04:24:43.132Z</dcterms:created>
  <dcterms:modified xsi:type="dcterms:W3CDTF">2026-10-06T04:24:43.132Z</dcterms:modified>
</cp:coreProperties>
</file>

<file path=docProps/custom.xml><?xml version="1.0" encoding="utf-8"?>
<Properties xmlns="http://schemas.openxmlformats.org/officeDocument/2006/custom-properties" xmlns:vt="http://schemas.openxmlformats.org/officeDocument/2006/docPropsVTypes"/>
</file>