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jc w:val="both"/>
        <w:rPr/>
      </w:pPr>
      <w:r w:rsidDel="00000000" w:rsidR="00000000" w:rsidRPr="00000000">
        <w:rPr>
          <w:rtl w:val="0"/>
        </w:rPr>
        <w:t xml:space="preserve">The Spanish economy and Climate Change: An Input-Output analys</w:t>
      </w:r>
      <w:r w:rsidDel="00000000" w:rsidR="00000000" w:rsidRPr="00000000">
        <w:rPr>
          <w:rtl w:val="0"/>
        </w:rPr>
        <w:t xml:space="preserve">is</w:t>
      </w:r>
    </w:p>
    <w:p w:rsidR="00000000" w:rsidDel="00000000" w:rsidP="00000000" w:rsidRDefault="00000000" w:rsidRPr="00000000" w14:paraId="00000002">
      <w:pPr>
        <w:ind w:left="0" w:firstLine="0"/>
        <w:jc w:val="both"/>
        <w:rPr>
          <w:color w:val="e69138"/>
        </w:rPr>
      </w:pPr>
      <w:r w:rsidDel="00000000" w:rsidR="00000000" w:rsidRPr="00000000">
        <w:rPr>
          <w:rtl w:val="0"/>
        </w:rPr>
      </w:r>
    </w:p>
    <w:p w:rsidR="00000000" w:rsidDel="00000000" w:rsidP="00000000" w:rsidRDefault="00000000" w:rsidRPr="00000000" w14:paraId="00000003">
      <w:pPr>
        <w:ind w:left="0" w:firstLine="0"/>
        <w:jc w:val="both"/>
        <w:rPr/>
      </w:pPr>
      <w:r w:rsidDel="00000000" w:rsidR="00000000" w:rsidRPr="00000000">
        <w:rPr>
          <w:rtl w:val="0"/>
        </w:rPr>
        <w:t xml:space="preserve">By JD</w:t>
      </w:r>
      <w:r w:rsidDel="00000000" w:rsidR="00000000" w:rsidRPr="00000000">
        <w:rPr>
          <w:rtl w:val="0"/>
        </w:rPr>
        <w:t xml:space="preserve"> and </w:t>
      </w:r>
      <w:r w:rsidDel="00000000" w:rsidR="00000000" w:rsidRPr="00000000">
        <w:rPr>
          <w:rtl w:val="0"/>
        </w:rPr>
        <w:t xml:space="preserve">Lucien</w:t>
      </w:r>
      <w:r w:rsidDel="00000000" w:rsidR="00000000" w:rsidRPr="00000000">
        <w:rPr>
          <w:rtl w:val="0"/>
        </w:rPr>
      </w:r>
    </w:p>
    <w:p w:rsidR="00000000" w:rsidDel="00000000" w:rsidP="00000000" w:rsidRDefault="00000000" w:rsidRPr="00000000" w14:paraId="00000004">
      <w:pPr>
        <w:spacing w:after="240" w:before="240" w:lineRule="auto"/>
        <w:ind w:left="0" w:right="600" w:firstLine="0"/>
        <w:jc w:val="both"/>
        <w:rPr/>
      </w:pPr>
      <w:r w:rsidDel="00000000" w:rsidR="00000000" w:rsidRPr="00000000">
        <w:rPr>
          <w:rtl w:val="0"/>
        </w:rPr>
        <w:t xml:space="preserve">To measure our success in </w:t>
      </w:r>
      <w:r w:rsidDel="00000000" w:rsidR="00000000" w:rsidRPr="00000000">
        <w:rPr>
          <w:rtl w:val="0"/>
        </w:rPr>
        <w:t xml:space="preserve">fighting</w:t>
      </w:r>
      <w:r w:rsidDel="00000000" w:rsidR="00000000" w:rsidRPr="00000000">
        <w:rPr>
          <w:rtl w:val="0"/>
        </w:rPr>
        <w:t xml:space="preserve"> climate change, we must look at one primary figure: the volume of GHG emissions in the atmosphere</w:t>
      </w:r>
      <w:r w:rsidDel="00000000" w:rsidR="00000000" w:rsidRPr="00000000">
        <w:rPr>
          <w:rtl w:val="0"/>
        </w:rPr>
        <w:t xml:space="preserve">. It turns out that the extent to which production contributes every year to such a volume of emissions depends greatly on its sectoral composition. This is because technologies used </w:t>
      </w:r>
      <w:r w:rsidDel="00000000" w:rsidR="00000000" w:rsidRPr="00000000">
        <w:rPr>
          <w:rtl w:val="0"/>
        </w:rPr>
        <w:t xml:space="preserve">across sectors vary widely</w:t>
      </w:r>
      <w:r w:rsidDel="00000000" w:rsidR="00000000" w:rsidRPr="00000000">
        <w:rPr>
          <w:rtl w:val="0"/>
        </w:rPr>
        <w:t xml:space="preserve">. For example, cement manufacturing depends on carbon-intensive combustion technologies for heating and cooling, while the business services sector is driven primarily by human interaction, a naturally low-carbon technology.</w:t>
      </w:r>
    </w:p>
    <w:p w:rsidR="00000000" w:rsidDel="00000000" w:rsidP="00000000" w:rsidRDefault="00000000" w:rsidRPr="00000000" w14:paraId="00000005">
      <w:pPr>
        <w:spacing w:after="240" w:before="240" w:lineRule="auto"/>
        <w:ind w:left="0" w:right="600" w:firstLine="0"/>
        <w:jc w:val="both"/>
        <w:rPr/>
      </w:pPr>
      <w:r w:rsidDel="00000000" w:rsidR="00000000" w:rsidRPr="00000000">
        <w:rPr>
          <w:rtl w:val="0"/>
        </w:rPr>
        <w:t xml:space="preserve">This is why the economic implications of climate policy differ greatly across sectors – it is supposed to punish carbon-intensive sectors more severely. But,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how much your much needed suppliers emit. In fact, </w:t>
      </w:r>
      <w:r w:rsidDel="00000000" w:rsidR="00000000" w:rsidRPr="00000000">
        <w:rPr>
          <w:rtl w:val="0"/>
        </w:rPr>
        <w:t xml:space="preserve">corporate reporting standards aspire to require disclosure across three categories</w:t>
      </w:r>
      <w:r w:rsidDel="00000000" w:rsidR="00000000" w:rsidRPr="00000000">
        <w:rPr>
          <w:rtl w:val="0"/>
        </w:rPr>
        <w:t xml:space="preserve">: Scope 1 (direct emissions), Scope 2 (indirect emissions from purchased electricity), and Scope 3 (</w:t>
      </w:r>
      <w:r w:rsidDel="00000000" w:rsidR="00000000" w:rsidRPr="00000000">
        <w:rPr>
          <w:rtl w:val="0"/>
        </w:rPr>
        <w:t xml:space="preserve">all other emissions within the value chain</w:t>
      </w:r>
      <w:r w:rsidDel="00000000" w:rsidR="00000000" w:rsidRPr="00000000">
        <w:rPr>
          <w:rtl w:val="0"/>
        </w:rPr>
        <w:t xml:space="preserve">, both upstream and downstream). </w:t>
      </w:r>
    </w:p>
    <w:p w:rsidR="00000000" w:rsidDel="00000000" w:rsidP="00000000" w:rsidRDefault="00000000" w:rsidRPr="00000000" w14:paraId="00000006">
      <w:pPr>
        <w:spacing w:after="240" w:before="240" w:lineRule="auto"/>
        <w:ind w:left="0" w:right="600" w:firstLine="0"/>
        <w:jc w:val="center"/>
        <w:rPr/>
      </w:pPr>
      <w:r w:rsidDel="00000000" w:rsidR="00000000" w:rsidRPr="00000000">
        <w:rPr/>
        <w:drawing>
          <wp:inline distB="114300" distT="114300" distL="114300" distR="114300">
            <wp:extent cx="3433763" cy="2195627"/>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433763" cy="2195627"/>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240" w:before="240" w:lineRule="auto"/>
        <w:ind w:left="0" w:right="600" w:firstLine="0"/>
        <w:jc w:val="center"/>
        <w:rPr>
          <w:color w:val="666666"/>
          <w:sz w:val="18"/>
          <w:szCs w:val="18"/>
        </w:rPr>
      </w:pPr>
      <w:r w:rsidDel="00000000" w:rsidR="00000000" w:rsidRPr="00000000">
        <w:rPr>
          <w:color w:val="666666"/>
          <w:sz w:val="18"/>
          <w:szCs w:val="18"/>
          <w:rtl w:val="0"/>
        </w:rPr>
        <w:t xml:space="preserve">Source: U.S Environmental Protection Agency (EPA). Emissions by Scope inventory guidance </w:t>
      </w:r>
    </w:p>
    <w:p w:rsidR="00000000" w:rsidDel="00000000" w:rsidP="00000000" w:rsidRDefault="00000000" w:rsidRPr="00000000" w14:paraId="00000008">
      <w:pPr>
        <w:spacing w:after="240" w:before="240" w:lineRule="auto"/>
        <w:ind w:left="0" w:right="600" w:firstLine="0"/>
        <w:jc w:val="both"/>
        <w:rPr>
          <w:b w:val="1"/>
          <w:bCs w:val="1"/>
        </w:rPr>
      </w:pPr>
      <w:r w:rsidDel="00000000" w:rsidR="00000000" w:rsidRPr="00000000">
        <w:rPr>
          <w:b w:val="1"/>
          <w:bCs w:val="1"/>
          <w:rtl w:val="0"/>
        </w:rPr>
        <w:t xml:space="preserve">The Data</w:t>
      </w:r>
      <w:r w:rsidDel="00000000" w:rsidR="00000000" w:rsidRPr="00000000">
        <w:rPr>
          <w:rtl w:val="0"/>
        </w:rPr>
      </w:r>
    </w:p>
    <w:p w:rsidR="00000000" w:rsidDel="00000000" w:rsidP="00000000" w:rsidRDefault="00000000" w:rsidRPr="00000000" w14:paraId="00000009">
      <w:pPr>
        <w:spacing w:after="240" w:before="240" w:lineRule="auto"/>
        <w:ind w:left="0" w:right="600" w:firstLine="0"/>
        <w:jc w:val="both"/>
        <w:rPr/>
      </w:pPr>
      <w:r w:rsidDel="00000000" w:rsidR="00000000" w:rsidRPr="00000000">
        <w:rPr>
          <w:rtl w:val="0"/>
        </w:rPr>
        <w:t xml:space="preserve">A useful tool to analyze direct and indirect emissions across sectors are Input-Output tables. Understanding these at a global level gets unnecessarily complicated, so let's focus on the Spanish economy. </w:t>
      </w:r>
    </w:p>
    <w:p w:rsidR="00000000" w:rsidDel="00000000" w:rsidP="00000000" w:rsidRDefault="00000000" w:rsidRPr="00000000" w14:paraId="0000000A">
      <w:pPr>
        <w:ind w:left="0" w:firstLine="0"/>
        <w:jc w:val="both"/>
        <w:rPr/>
      </w:pPr>
      <w:r w:rsidDel="00000000" w:rsidR="00000000" w:rsidRPr="00000000">
        <w:rPr>
          <w:rtl w:val="0"/>
        </w:rPr>
        <w:t xml:space="preserve">Input-Output tables contain the output produced by each sector, as well as the inputs that each sector buys from other sectors. They also contain data on consumption, investment, government spending, and net exports, but we won’t need that for this exercise. Therefore, the table of interest looks as follows:</w:t>
      </w:r>
    </w:p>
    <w:p w:rsidR="00000000" w:rsidDel="00000000" w:rsidP="00000000" w:rsidRDefault="00000000" w:rsidRPr="00000000" w14:paraId="0000000B">
      <w:pPr>
        <w:ind w:left="0" w:firstLine="0"/>
        <w:jc w:val="center"/>
        <w:rPr/>
      </w:pPr>
      <w:r w:rsidDel="00000000" w:rsidR="00000000" w:rsidRPr="00000000">
        <w:rPr/>
        <w:drawing>
          <wp:inline distB="114300" distT="114300" distL="114300" distR="114300">
            <wp:extent cx="2952240" cy="1854612"/>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952240" cy="1854612"/>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ind w:left="0" w:firstLine="0"/>
        <w:jc w:val="center"/>
        <w:rPr>
          <w:color w:val="444746"/>
          <w:sz w:val="18"/>
          <w:szCs w:val="18"/>
        </w:rPr>
      </w:pPr>
      <w:r w:rsidDel="00000000" w:rsidR="00000000" w:rsidRPr="00000000">
        <w:rPr>
          <w:color w:val="444746"/>
          <w:sz w:val="18"/>
          <w:szCs w:val="18"/>
          <w:rtl w:val="0"/>
        </w:rPr>
        <w:t xml:space="preserve">Source: Input-Output table. Own elaboration</w:t>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 xml:space="preserve">The rows correspond to the producing sectors, and columns to the consuming sectors. Therefore, the </w:t>
      </w:r>
      <w:r w:rsidDel="00000000" w:rsidR="00000000" w:rsidRPr="00000000">
        <w:rPr>
          <w:rtl w:val="0"/>
        </w:rPr>
        <w:t xml:space="preserve">agriculture row shows agricultural</w:t>
      </w:r>
      <w:r w:rsidDel="00000000" w:rsidR="00000000" w:rsidRPr="00000000">
        <w:rPr>
          <w:rtl w:val="0"/>
        </w:rPr>
        <w:t xml:space="preserve"> output sold to each consuming sector. The </w:t>
      </w:r>
      <m:oMath>
        <m:sSub>
          <m:sSubPr>
            <m:ctrlPr>
              <w:rPr/>
            </m:ctrlPr>
          </m:sSubPr>
          <m:e>
            <m:r>
              <w:rPr/>
              <m:t xml:space="preserve">a</m:t>
            </m:r>
          </m:e>
          <m:sub>
            <m:r>
              <w:rPr/>
              <m:t xml:space="preserve">11</m:t>
            </m:r>
          </m:sub>
        </m:sSub>
      </m:oMath>
      <w:r w:rsidDel="00000000" w:rsidR="00000000" w:rsidRPr="00000000">
        <w:rPr>
          <w:rtl w:val="0"/>
        </w:rPr>
        <w:t xml:space="preserve"> cell would therefore be the agricultural output sold to the agricultural sector, which is usually zero but sometimes positive: think of</w:t>
      </w:r>
      <w:r w:rsidDel="00000000" w:rsidR="00000000" w:rsidRPr="00000000">
        <w:rPr>
          <w:rFonts w:ascii="Roboto" w:cs="Roboto" w:eastAsia="Roboto" w:hAnsi="Roboto"/>
          <w:highlight w:val="white"/>
          <w:rtl w:val="0"/>
        </w:rPr>
        <w:t xml:space="preserve"> grain (output) used as seed (input) for the next planting season</w:t>
      </w:r>
      <w:r w:rsidDel="00000000" w:rsidR="00000000" w:rsidRPr="00000000">
        <w:rPr>
          <w:rtl w:val="0"/>
        </w:rPr>
        <w:t xml:space="preserve">). The </w:t>
      </w:r>
      <m:oMath>
        <m:sSub>
          <m:sSubPr>
            <m:ctrlPr>
              <w:rPr/>
            </m:ctrlPr>
          </m:sSubPr>
          <m:e>
            <m:r>
              <w:rPr/>
              <m:t xml:space="preserve">a</m:t>
            </m:r>
          </m:e>
          <m:sub>
            <m:r>
              <w:rPr/>
              <m:t xml:space="preserve">12</m:t>
            </m:r>
          </m:sub>
        </m:sSub>
        <m:r>
          <w:rPr/>
          <m:t xml:space="preserve"> </m:t>
        </m:r>
      </m:oMath>
      <w:r w:rsidDel="00000000" w:rsidR="00000000" w:rsidRPr="00000000">
        <w:rPr>
          <w:rtl w:val="0"/>
        </w:rPr>
        <w:t xml:space="preserve">cell would be the agricultural output sold to the mining sector, and so on. </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EXIOBASE provides this table for 44 economies across 163 sectors. Moreover, EXIOBASE also provides the direct total GHG emissions for each of these country-sectors, so half of our work is already done (direct emissions). For the other half (indirect emissions), we will need to borrow a Nobel Prize winning idea…</w:t>
      </w:r>
    </w:p>
    <w:p w:rsidR="00000000" w:rsidDel="00000000" w:rsidP="00000000" w:rsidRDefault="00000000" w:rsidRPr="00000000" w14:paraId="00000011">
      <w:pPr>
        <w:ind w:left="0" w:firstLine="0"/>
        <w:jc w:val="both"/>
        <w:rPr/>
      </w:pPr>
      <w:r w:rsidDel="00000000" w:rsidR="00000000" w:rsidRPr="00000000">
        <w:rPr>
          <w:rtl w:val="0"/>
        </w:rPr>
      </w:r>
    </w:p>
    <w:p w:rsidR="00000000" w:rsidDel="00000000" w:rsidP="00000000" w:rsidRDefault="00000000" w:rsidRPr="00000000" w14:paraId="00000012">
      <w:pPr>
        <w:ind w:left="0" w:firstLine="0"/>
        <w:jc w:val="both"/>
        <w:rPr>
          <w:b w:val="1"/>
          <w:bCs w:val="1"/>
        </w:rPr>
      </w:pPr>
      <w:r w:rsidDel="00000000" w:rsidR="00000000" w:rsidRPr="00000000">
        <w:rPr>
          <w:b w:val="1"/>
          <w:bCs w:val="1"/>
          <w:rtl w:val="0"/>
        </w:rPr>
        <w:t xml:space="preserve">The classical Leontief model</w:t>
      </w:r>
    </w:p>
    <w:p w:rsidR="00000000" w:rsidDel="00000000" w:rsidP="00000000" w:rsidRDefault="00000000" w:rsidRPr="00000000" w14:paraId="00000013">
      <w:pPr>
        <w:ind w:left="0" w:firstLine="0"/>
        <w:jc w:val="both"/>
        <w:rPr/>
      </w:pPr>
      <w:r w:rsidDel="00000000" w:rsidR="00000000" w:rsidRPr="00000000">
        <w:rPr>
          <w:rtl w:val="0"/>
        </w:rPr>
      </w:r>
    </w:p>
    <w:p w:rsidR="00000000" w:rsidDel="00000000" w:rsidP="00000000" w:rsidRDefault="00000000" w:rsidRPr="00000000" w14:paraId="00000014">
      <w:pPr>
        <w:spacing w:after="240" w:lineRule="auto"/>
        <w:jc w:val="both"/>
        <w:rPr/>
      </w:pPr>
      <w:r w:rsidDel="00000000" w:rsidR="00000000" w:rsidRPr="00000000">
        <w:rPr>
          <w:rtl w:val="0"/>
        </w:rPr>
        <w:t xml:space="preserve">While the Input-Output table provides the "recipe" for production, that only tells us about the </w:t>
      </w:r>
      <w:r w:rsidDel="00000000" w:rsidR="00000000" w:rsidRPr="00000000">
        <w:rPr>
          <w:b w:val="1"/>
          <w:bCs w:val="1"/>
          <w:rtl w:val="0"/>
        </w:rPr>
        <w:t xml:space="preserve">direct</w:t>
      </w:r>
      <w:r w:rsidDel="00000000" w:rsidR="00000000" w:rsidRPr="00000000">
        <w:rPr>
          <w:rtl w:val="0"/>
        </w:rPr>
        <w:t xml:space="preserve"> requirements. For example, we can see exactly how much electricity the agricultural sector purchases to produce its own output. However, for any sector, the chain does not stop there. The electricity suppliers need (their own inputs) fuel and infrastructure to operate. And fuel and infrastructure suppliers also need their own inputs to supply to electricity producers what they demand. Therefore, final demand for agricultural output triggers a whole chain of production across supplying sectors.</w:t>
      </w:r>
    </w:p>
    <w:p w:rsidR="00000000" w:rsidDel="00000000" w:rsidP="00000000" w:rsidRDefault="00000000" w:rsidRPr="00000000" w14:paraId="00000015">
      <w:pPr>
        <w:spacing w:after="240" w:lineRule="auto"/>
        <w:jc w:val="both"/>
        <w:rPr/>
      </w:pPr>
      <w:r w:rsidDel="00000000" w:rsidR="00000000" w:rsidRPr="00000000">
        <w:rPr>
          <w:rtl w:val="0"/>
        </w:rPr>
        <w:t xml:space="preserve">This is where the </w:t>
      </w:r>
      <w:hyperlink r:id="rId8">
        <w:r w:rsidDel="00000000" w:rsidR="00000000" w:rsidRPr="00000000">
          <w:rPr>
            <w:color w:val="1155cc"/>
            <w:u w:val="single"/>
            <w:rtl w:val="0"/>
          </w:rPr>
          <w:t xml:space="preserve">Nobel prize-winning </w:t>
        </w:r>
      </w:hyperlink>
      <w:hyperlink r:id="rId9">
        <w:r w:rsidDel="00000000" w:rsidR="00000000" w:rsidRPr="00000000">
          <w:rPr>
            <w:b w:val="1"/>
            <w:bCs w:val="1"/>
            <w:color w:val="1155cc"/>
            <w:u w:val="single"/>
            <w:rtl w:val="0"/>
          </w:rPr>
          <w:t xml:space="preserve">Leontief</w:t>
        </w:r>
      </w:hyperlink>
      <w:r w:rsidDel="00000000" w:rsidR="00000000" w:rsidRPr="00000000">
        <w:rPr>
          <w:b w:val="1"/>
          <w:bCs w:val="1"/>
          <w:rtl w:val="0"/>
        </w:rPr>
        <w:t xml:space="preserve"> Inverse</w:t>
      </w:r>
      <w:r w:rsidDel="00000000" w:rsidR="00000000" w:rsidRPr="00000000">
        <w:rPr>
          <w:rtl w:val="0"/>
        </w:rPr>
        <w:t xml:space="preserve"> model comes in. It accounts not only for the direct input requirements of a sector, but also for such a chain of production across supplying sectors. As a result, you end up with a matrix structured in the same way as the Input-Output table, but that shall be interpreted differently.</w:t>
      </w:r>
    </w:p>
    <w:p w:rsidR="00000000" w:rsidDel="00000000" w:rsidP="00000000" w:rsidRDefault="00000000" w:rsidRPr="00000000" w14:paraId="00000016">
      <w:pPr>
        <w:spacing w:after="240" w:lineRule="auto"/>
        <w:jc w:val="center"/>
        <w:rPr/>
      </w:pPr>
      <w:r w:rsidDel="00000000" w:rsidR="00000000" w:rsidRPr="00000000">
        <w:rPr/>
        <w:drawing>
          <wp:inline distB="114300" distT="114300" distL="114300" distR="114300">
            <wp:extent cx="2914650" cy="1830998"/>
            <wp:effectExtent b="0" l="0" r="0" t="0"/>
            <wp:docPr id="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914650" cy="1830998"/>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240" w:lineRule="auto"/>
        <w:jc w:val="center"/>
        <w:rPr>
          <w:color w:val="444746"/>
          <w:sz w:val="18"/>
          <w:szCs w:val="18"/>
        </w:rPr>
      </w:pPr>
      <w:r w:rsidDel="00000000" w:rsidR="00000000" w:rsidRPr="00000000">
        <w:rPr>
          <w:color w:val="444746"/>
          <w:sz w:val="18"/>
          <w:szCs w:val="18"/>
          <w:rtl w:val="0"/>
        </w:rPr>
        <w:t xml:space="preserve">Source: Leontief Inverse matrix. Own elaboration </w:t>
      </w:r>
    </w:p>
    <w:p w:rsidR="00000000" w:rsidDel="00000000" w:rsidP="00000000" w:rsidRDefault="00000000" w:rsidRPr="00000000" w14:paraId="00000018">
      <w:pPr>
        <w:spacing w:after="240" w:lineRule="auto"/>
        <w:jc w:val="both"/>
        <w:rPr/>
      </w:pPr>
      <w:r w:rsidDel="00000000" w:rsidR="00000000" w:rsidRPr="00000000">
        <w:rPr>
          <w:rtl w:val="0"/>
        </w:rPr>
        <w:t xml:space="preserve">Now</w:t>
      </w:r>
      <w:r w:rsidDel="00000000" w:rsidR="00000000" w:rsidRPr="00000000">
        <w:rPr>
          <w:rtl w:val="0"/>
        </w:rPr>
        <w:t xml:space="preserve">, </w:t>
      </w:r>
      <m:oMath>
        <m:sSub>
          <m:sSubPr>
            <m:ctrlPr>
              <w:rPr/>
            </m:ctrlPr>
          </m:sSubPr>
          <m:e>
            <m:r>
              <w:rPr/>
              <m:t xml:space="preserve">L</m:t>
            </m:r>
          </m:e>
          <m:sub>
            <m:r>
              <w:rPr/>
              <m:t xml:space="preserve">31</m:t>
            </m:r>
          </m:sub>
        </m:sSub>
      </m:oMath>
      <w:r w:rsidDel="00000000" w:rsidR="00000000" w:rsidRPr="00000000">
        <w:rPr>
          <w:rtl w:val="0"/>
        </w:rPr>
        <w:t xml:space="preserve"> does not only include the electricity consumed by the agricultural sector, but also the electricity needed by the suppliers of the electricity sector, and the electricity needed by the suppliers of the suppliers, and so on. Given this framework however, how do we translate all these upstream production requirements into emissions? </w:t>
      </w:r>
    </w:p>
    <w:p w:rsidR="00000000" w:rsidDel="00000000" w:rsidP="00000000" w:rsidRDefault="00000000" w:rsidRPr="00000000" w14:paraId="00000019">
      <w:pPr>
        <w:spacing w:after="240" w:lineRule="auto"/>
        <w:jc w:val="both"/>
        <w:rPr>
          <w:b w:val="1"/>
          <w:bCs w:val="1"/>
        </w:rPr>
      </w:pPr>
      <w:r w:rsidDel="00000000" w:rsidR="00000000" w:rsidRPr="00000000">
        <w:rPr>
          <w:b w:val="1"/>
          <w:bCs w:val="1"/>
          <w:rtl w:val="0"/>
        </w:rPr>
        <w:t xml:space="preserve">The Leontief environmental extension</w:t>
      </w:r>
    </w:p>
    <w:p w:rsidR="00000000" w:rsidDel="00000000" w:rsidP="00000000" w:rsidRDefault="00000000" w:rsidRPr="00000000" w14:paraId="0000001A">
      <w:pPr>
        <w:spacing w:after="240" w:lineRule="auto"/>
        <w:jc w:val="both"/>
        <w:rPr/>
      </w:pPr>
      <w:r w:rsidDel="00000000" w:rsidR="00000000" w:rsidRPr="00000000">
        <w:rPr>
          <w:rtl w:val="0"/>
        </w:rPr>
        <w:t xml:space="preserve">To turn the Leontief matrix into an emissions map, you just need to multiply each cell by its corresponding producing sector’s </w:t>
      </w:r>
      <w:r w:rsidDel="00000000" w:rsidR="00000000" w:rsidRPr="00000000">
        <w:rPr>
          <w:b w:val="1"/>
          <w:bCs w:val="1"/>
          <w:rtl w:val="0"/>
        </w:rPr>
        <w:t xml:space="preserve">emission intensity</w:t>
      </w:r>
      <w:r w:rsidDel="00000000" w:rsidR="00000000" w:rsidRPr="00000000">
        <w:rPr>
          <w:rtl w:val="0"/>
        </w:rPr>
        <w:t xml:space="preserve">, </w:t>
      </w:r>
      <w:r w:rsidDel="00000000" w:rsidR="00000000" w:rsidRPr="00000000">
        <w:rPr>
          <w:rtl w:val="0"/>
        </w:rPr>
        <w:t xml:space="preserve">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m:ctrlPr>
          </m:sSubPr>
          <m:e>
            <m:r>
              <w:rPr/>
              <m:t xml:space="preserve">L</m:t>
            </m:r>
          </m:e>
          <m:sub>
            <m:r>
              <w:rPr/>
              <m:t xml:space="preserve">31</m:t>
            </m:r>
          </m:sub>
        </m:sSub>
      </m:oMath>
      <w:r w:rsidDel="00000000" w:rsidR="00000000" w:rsidRPr="00000000">
        <w:rPr>
          <w:rtl w:val="0"/>
        </w:rPr>
        <w:t xml:space="preserve"> is the electricity input needed to produce agricultural output accounting for the full chain of supplying production, and </w:t>
      </w:r>
      <m:oMath>
        <m:sSub>
          <m:sSubPr>
            <m:ctrlPr>
              <w:rPr/>
            </m:ctrlPr>
          </m:sSubPr>
          <m:e>
            <m:r>
              <w:rPr/>
              <m:t xml:space="preserve">e</m:t>
            </m:r>
          </m:e>
          <m:sub>
            <m:r>
              <w:rPr/>
              <m:t xml:space="preserve">elec</m:t>
            </m:r>
          </m:sub>
        </m:sSub>
      </m:oMath>
      <w:r w:rsidDel="00000000" w:rsidR="00000000" w:rsidRPr="00000000">
        <w:rPr>
          <w:rtl w:val="0"/>
        </w:rPr>
        <w:t xml:space="preserve"> is the direct emission intensity of electricity providers.</w:t>
      </w:r>
    </w:p>
    <w:p w:rsidR="00000000" w:rsidDel="00000000" w:rsidP="00000000" w:rsidRDefault="00000000" w:rsidRPr="00000000" w14:paraId="0000001B">
      <w:pPr>
        <w:jc w:val="center"/>
        <w:rPr/>
      </w:pPr>
      <w:r w:rsidDel="00000000" w:rsidR="00000000" w:rsidRPr="00000000">
        <w:rPr/>
        <w:drawing>
          <wp:inline distB="114300" distT="114300" distL="114300" distR="114300">
            <wp:extent cx="3668713" cy="2304384"/>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668713" cy="2304384"/>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center"/>
        <w:rPr>
          <w:color w:val="444746"/>
          <w:sz w:val="18"/>
          <w:szCs w:val="18"/>
        </w:rPr>
      </w:pPr>
      <w:r w:rsidDel="00000000" w:rsidR="00000000" w:rsidRPr="00000000">
        <w:rPr>
          <w:color w:val="444746"/>
          <w:sz w:val="18"/>
          <w:szCs w:val="18"/>
          <w:rtl w:val="0"/>
        </w:rPr>
        <w:t xml:space="preserve">Source: Environmentally scaled Leontief Inverse matrix. Own elaboration.</w:t>
      </w:r>
    </w:p>
    <w:p w:rsidR="00000000" w:rsidDel="00000000" w:rsidP="00000000" w:rsidRDefault="00000000" w:rsidRPr="00000000" w14:paraId="0000001D">
      <w:pPr>
        <w:spacing w:after="240" w:lineRule="auto"/>
        <w:jc w:val="both"/>
        <w:rPr/>
      </w:pPr>
      <w:r w:rsidDel="00000000" w:rsidR="00000000" w:rsidRPr="00000000">
        <w:rPr>
          <w:rtl w:val="0"/>
        </w:rPr>
        <w:t xml:space="preserve">It must be noted that there are two main limitations that come with this approach. First, the Leontief model only recovers the upstream production requirements, but it does not take into account the downstream chain of events shown by the last arrow on the right in Figure 1, missing a key area of Scope 3 emissions. The Leontief inverse does not track what happens to the agricultural products afterward. The crops may be processed into packaged foods, transported across 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rsidR="00000000" w:rsidDel="00000000" w:rsidP="00000000" w:rsidRDefault="00000000" w:rsidRPr="00000000" w14:paraId="0000001E">
      <w:pPr>
        <w:spacing w:after="240" w:lineRule="auto"/>
        <w:jc w:val="both"/>
        <w:rPr/>
      </w:pPr>
      <w:r w:rsidDel="00000000" w:rsidR="00000000" w:rsidRPr="00000000">
        <w:rPr>
          <w:rtl w:val="0"/>
        </w:rPr>
        <w:t xml:space="preserve">Second, production technology is assumed to be fixed in this model, meaning the input expenditure shares and emission intensity of a given sector cannot change. In reality, sectors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this limitation is relatively minor.</w:t>
      </w:r>
      <w:r w:rsidDel="00000000" w:rsidR="00000000" w:rsidRPr="00000000">
        <w:rPr>
          <w:rtl w:val="0"/>
        </w:rPr>
      </w:r>
    </w:p>
    <w:p w:rsidR="00000000" w:rsidDel="00000000" w:rsidP="00000000" w:rsidRDefault="00000000" w:rsidRPr="00000000" w14:paraId="0000001F">
      <w:pPr>
        <w:ind w:left="0" w:firstLine="0"/>
        <w:jc w:val="both"/>
        <w:rPr>
          <w:b w:val="1"/>
          <w:bCs w:val="1"/>
        </w:rPr>
      </w:pPr>
      <w:r w:rsidDel="00000000" w:rsidR="00000000" w:rsidRPr="00000000">
        <w:rPr>
          <w:b w:val="1"/>
          <w:bCs w:val="1"/>
          <w:rtl w:val="0"/>
        </w:rPr>
        <w:t xml:space="preserve">The Results for the Spanish Economy</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The uses of input-output matrices are broad. In this article, we focus on combining them with the emissions satellite account. Satellite accounts are supplementary accounts that sit alongside the national accounts and make it possible to analyze dimensions that GDP does not capture. They are linked to the same sectoral structure, so you can connect economic activity to things like tourism, ecosystem services, unpaid household work, water and nutrient use, and emissions. In that sense, they are a practical “</w:t>
      </w:r>
      <w:hyperlink r:id="rId12">
        <w:r w:rsidDel="00000000" w:rsidR="00000000" w:rsidRPr="00000000">
          <w:rPr>
            <w:color w:val="1155cc"/>
            <w:u w:val="single"/>
            <w:rtl w:val="0"/>
          </w:rPr>
          <w:t xml:space="preserve">Beyond GDP</w:t>
        </w:r>
      </w:hyperlink>
      <w:r w:rsidDel="00000000" w:rsidR="00000000" w:rsidRPr="00000000">
        <w:rPr>
          <w:rtl w:val="0"/>
        </w:rPr>
        <w:t xml:space="preserve">” tool: they keep the accounting backbone of national accounts, but extend it to variables that matter for welfare and sustainability.</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There are also many ways to present and interpret the results. We keep the analysis simple, but still thorough. A first pass using total emissions will often just mirror the size of a sector, because producing more typically implies emitting more. To get a cleaner comparison across sectors, we standardize emissions by output, measuring emissions per euro of production. This shifts the focus from “who emits the most in total” to “who is most emissions-intensive,” which is the more relevant lens for understanding where decarbonization pressure will bite and where supply-chain exposure can be large even for sectors that look clean on Scope 1 alone.</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Before turning to intensity, </w:t>
      </w:r>
      <w:r w:rsidDel="00000000" w:rsidR="00000000" w:rsidRPr="00000000">
        <w:rPr>
          <w:highlight w:val="yellow"/>
          <w:rtl w:val="0"/>
        </w:rPr>
        <w:t xml:space="preserve">Figure X</w:t>
      </w:r>
      <w:r w:rsidDel="00000000" w:rsidR="00000000" w:rsidRPr="00000000">
        <w:rPr>
          <w:rtl w:val="0"/>
        </w:rPr>
        <w:t xml:space="preserve"> reports total output (as a proxy for GDP), employment, and emissions by sector in Spain. This gives a baseline sense of scale, satisfies your obvious curiosity of  “who are the big players?”, and helps interpret the intensity results that follow: large sectors may dominate totals even if they are relatively clean per euro, while smaller sectors can look modest in aggregate but stand out once you account for emissions per unit of production.</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[es_dashboard_tabs.html]</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As shown in the figure above, real estate activities, hotels and restaurants, and construction are among the largest sectors in the Spanish economy. The first two are service-oriented, so their direct emissions tend to be relatively low. Construction, in contrast, is material and energy intensive, which is why it stands out on the emissions side and ranks as one of Spain’s highest-emitting sectors (see the Emissions tab in the dashboard).</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One natural next step is to look at the composition of those emissions. This is where input-output matrices are useful: they help trace where the construction sector’s footprint actually originates. When a skyscraper is being built, the emissions you observe locally may not rise much at the construction site itself. Yet, as the “Emissions” tab shows, most of construction’s footprint sits in Scope 3 (over 70%). The obvious question is: which upstream sectors are driving it, and how far back does that chain go? To make that visible, we map the construction supply chain as a network at the end of this article.</w:t>
      </w:r>
    </w:p>
    <w:p w:rsidR="00000000" w:rsidDel="00000000" w:rsidP="00000000" w:rsidRDefault="00000000" w:rsidRPr="00000000" w14:paraId="00000026">
      <w:pPr>
        <w:ind w:left="0" w:firstLine="0"/>
        <w:jc w:val="both"/>
        <w:rPr/>
      </w:pPr>
      <w:r w:rsidDel="00000000" w:rsidR="00000000" w:rsidRPr="00000000">
        <w:rPr>
          <w:rtl w:val="0"/>
        </w:rPr>
        <w:t xml:space="preserve">For now, we go back to a fairer comparison across sectors: the emissions intensity tab in our dashboard. This section ranks sectors by emissions per euro of output. In 2022, Petroleum refinery, construction, and manufacture of gas are the top emitter sectors of the economy. However, when looking at emission intensities by sector, electricity by coal and petroleum, and cattle farming comes as the top three industries, emitting about 28kg, 14kg and 13kg of CO2e per EUR of output. If we take into account the social cost of carbon (185 EUR per ton, ie, 0.185 EUR per kg), these sectors are producing more harm than benefits (5.85 EUR of externalities per 1 EUR of production).</w:t>
      </w:r>
    </w:p>
    <w:p w:rsidR="00000000" w:rsidDel="00000000" w:rsidP="00000000" w:rsidRDefault="00000000" w:rsidRPr="00000000" w14:paraId="00000027">
      <w:pPr>
        <w:ind w:left="0" w:firstLine="0"/>
        <w:jc w:val="both"/>
        <w:rPr/>
      </w:pPr>
      <w:r w:rsidDel="00000000" w:rsidR="00000000" w:rsidRPr="00000000">
        <w:rPr>
          <w:rtl w:val="0"/>
        </w:rPr>
      </w:r>
    </w:p>
    <w:p w:rsidR="00000000" w:rsidDel="00000000" w:rsidP="00000000" w:rsidRDefault="00000000" w:rsidRPr="00000000" w14:paraId="00000028">
      <w:pPr>
        <w:ind w:left="0" w:firstLine="0"/>
        <w:jc w:val="both"/>
        <w:rPr/>
      </w:pPr>
      <w:r w:rsidDel="00000000" w:rsidR="00000000" w:rsidRPr="00000000">
        <w:rPr>
          <w:rtl w:val="0"/>
        </w:rPr>
        <w:t xml:space="preserve">In principle, the same logic lets us compute an “implied climate damage” for every industry and see where external costs are likely to dwarf market value. But this is strictly back-of-the-envelope. The social cost of carbon is uncertain and sensitive to assumptions. Emissions intensities depend on accounting boundaries and on the input-output structure, and our Scope 3 coverage is incomplete. Output measured in euros is not a welfare metric, and this calculation ignores benefits, distributional effects, abatement options, and other externalities beyond CO2e. Used properly, it is a screening tool to flag hotspots, not a definitive cost-benefit statement.</w:t>
      </w:r>
    </w:p>
    <w:p w:rsidR="00000000" w:rsidDel="00000000" w:rsidP="00000000" w:rsidRDefault="00000000" w:rsidRPr="00000000" w14:paraId="00000029">
      <w:pPr>
        <w:ind w:left="0" w:firstLine="0"/>
        <w:jc w:val="both"/>
        <w:rPr/>
      </w:pPr>
      <w:r w:rsidDel="00000000" w:rsidR="00000000" w:rsidRPr="00000000">
        <w:rPr>
          <w:rtl w:val="0"/>
        </w:rPr>
      </w:r>
    </w:p>
    <w:p w:rsidR="00000000" w:rsidDel="00000000" w:rsidP="00000000" w:rsidRDefault="00000000" w:rsidRPr="00000000" w14:paraId="0000002A">
      <w:pPr>
        <w:ind w:left="0" w:firstLine="0"/>
        <w:jc w:val="both"/>
        <w:rPr/>
      </w:pPr>
      <w:r w:rsidDel="00000000" w:rsidR="00000000" w:rsidRPr="00000000">
        <w:rPr>
          <w:rtl w:val="0"/>
        </w:rPr>
        <w:t xml:space="preserve">[es_scc_damage_interactive]</w:t>
      </w:r>
    </w:p>
    <w:p w:rsidR="00000000" w:rsidDel="00000000" w:rsidP="00000000" w:rsidRDefault="00000000" w:rsidRPr="00000000" w14:paraId="0000002B">
      <w:pPr>
        <w:ind w:left="0" w:firstLine="0"/>
        <w:jc w:val="both"/>
        <w:rPr/>
      </w:pPr>
      <w:r w:rsidDel="00000000" w:rsidR="00000000" w:rsidRPr="00000000">
        <w:rPr>
          <w:rtl w:val="0"/>
        </w:rPr>
      </w:r>
    </w:p>
    <w:p w:rsidR="00000000" w:rsidDel="00000000" w:rsidP="00000000" w:rsidRDefault="00000000" w:rsidRPr="00000000" w14:paraId="0000002C">
      <w:pPr>
        <w:ind w:left="0" w:firstLine="0"/>
        <w:jc w:val="both"/>
        <w:rPr>
          <w:b w:val="1"/>
          <w:bCs w:val="1"/>
        </w:rPr>
      </w:pPr>
      <w:r w:rsidDel="00000000" w:rsidR="00000000" w:rsidRPr="00000000">
        <w:rPr>
          <w:b w:val="1"/>
          <w:bCs w:val="1"/>
          <w:rtl w:val="0"/>
        </w:rPr>
        <w:t xml:space="preserve">Takeaways</w:t>
      </w:r>
    </w:p>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ind w:left="0" w:firstLine="0"/>
        <w:jc w:val="both"/>
        <w:rPr/>
      </w:pPr>
      <w:r w:rsidDel="00000000" w:rsidR="00000000" w:rsidRPr="00000000">
        <w:rPr>
          <w:rtl w:val="0"/>
        </w:rPr>
        <w:t xml:space="preserve">Aquí nos tenemos que poner de acuerdo en los principales mensajes que se pueden extraer de los resultados así como las limitaciones del análisis empleado.</w:t>
      </w:r>
    </w:p>
    <w:p w:rsidR="00000000" w:rsidDel="00000000" w:rsidP="00000000" w:rsidRDefault="00000000" w:rsidRPr="00000000" w14:paraId="0000002F">
      <w:pPr>
        <w:ind w:left="0" w:firstLine="0"/>
        <w:jc w:val="both"/>
        <w:rPr/>
      </w:pPr>
      <w:r w:rsidDel="00000000" w:rsidR="00000000" w:rsidRPr="00000000">
        <w:rPr>
          <w:rtl w:val="0"/>
        </w:rPr>
      </w:r>
    </w:p>
    <w:p w:rsidR="00000000" w:rsidDel="00000000" w:rsidP="00000000" w:rsidRDefault="00000000" w:rsidRPr="00000000" w14:paraId="00000030">
      <w:pPr>
        <w:ind w:left="0" w:firstLine="0"/>
        <w:jc w:val="both"/>
        <w:rPr/>
      </w:pPr>
      <w:r w:rsidDel="00000000" w:rsidR="00000000" w:rsidRPr="00000000">
        <w:rPr>
          <w:rtl w:val="0"/>
        </w:rPr>
      </w:r>
    </w:p>
    <w:p w:rsidR="00000000" w:rsidDel="00000000" w:rsidP="00000000" w:rsidRDefault="00000000" w:rsidRPr="00000000" w14:paraId="00000031">
      <w:pPr>
        <w:ind w:left="0" w:firstLine="0"/>
        <w:jc w:val="both"/>
        <w:rPr/>
      </w:pPr>
      <w:r w:rsidDel="00000000" w:rsidR="00000000" w:rsidRPr="00000000">
        <w:rPr>
          <w:rtl w:val="0"/>
        </w:rPr>
        <w:t xml:space="preserve">[scope1_center_2d_with_year_slider]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4.png"/><Relationship Id="rId12" Type="http://schemas.openxmlformats.org/officeDocument/2006/relationships/hyperlink" Target="https://unsceb.org/topics/beyond-gdp" TargetMode="External"/><Relationship Id="rId9" Type="http://schemas.openxmlformats.org/officeDocument/2006/relationships/hyperlink" Target="https://www.nobelprize.org/prizes/economic-sciences/1973/summary/"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www.nobelprize.org/prizes/economic-sciences/1973/summar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