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CB40FE" w14:textId="77777777" w:rsidR="00D634FC" w:rsidRPr="006C71EA" w:rsidRDefault="00D634FC" w:rsidP="006C71EA">
      <w:pPr>
        <w:jc w:val="both"/>
      </w:pPr>
      <w:r w:rsidRPr="006C71EA">
        <w:t>The voluntary carbon market (VCM) is where companies, institutions, and individuals buy carbon credits to allow them to claim ‘we are carbon neutral’ without being forced by law to do so. It’s a market born out of necessity: regulated carbon markets - emission trading schemes, carbon taxes, and similar instruments - leave vast quantities of emissions untouched.</w:t>
      </w:r>
    </w:p>
    <w:p w14:paraId="5F891222" w14:textId="77777777" w:rsidR="00D634FC" w:rsidRPr="006C71EA" w:rsidRDefault="00D634FC" w:rsidP="0056165C">
      <w:pPr>
        <w:pStyle w:val="Heading2"/>
      </w:pPr>
      <w:r w:rsidRPr="006C71EA">
        <w:t>Regulated versus uncovered emissions</w:t>
      </w:r>
    </w:p>
    <w:p w14:paraId="28899598" w14:textId="77777777" w:rsidR="00D634FC" w:rsidRPr="006C71EA" w:rsidRDefault="00D634FC" w:rsidP="006C71EA">
      <w:pPr>
        <w:jc w:val="both"/>
      </w:pPr>
      <w:r w:rsidRPr="006C71EA">
        <w:t>Generally, emissions fall into one of two buckets:</w:t>
      </w:r>
    </w:p>
    <w:p w14:paraId="413CA9A2" w14:textId="77777777" w:rsidR="00D634FC" w:rsidRPr="006C71EA" w:rsidRDefault="00D634FC" w:rsidP="006C71EA">
      <w:pPr>
        <w:pBdr>
          <w:top w:val="nil"/>
          <w:left w:val="nil"/>
          <w:bottom w:val="nil"/>
          <w:right w:val="nil"/>
          <w:between w:val="nil"/>
        </w:pBdr>
        <w:spacing w:after="0"/>
        <w:jc w:val="both"/>
        <w:rPr>
          <w:color w:val="000000"/>
        </w:rPr>
      </w:pPr>
      <w:r w:rsidRPr="006C71EA">
        <w:rPr>
          <w:b/>
          <w:bCs/>
          <w:color w:val="000000"/>
        </w:rPr>
        <w:t>Regulated carbon markets</w:t>
      </w:r>
      <w:r w:rsidRPr="006C71EA">
        <w:rPr>
          <w:color w:val="000000"/>
        </w:rPr>
        <w:t>: These are emissions trading systems (ETSs) or carbon taxes enacted by governments. They place a price or ceiling on CO₂ (or other GHG) emissions for certain sectors (power, heavy industry, etc.).</w:t>
      </w:r>
      <w:r w:rsidRPr="006C71EA">
        <w:t xml:space="preserve"> Yet globally</w:t>
      </w:r>
      <w:r w:rsidRPr="006C71EA">
        <w:rPr>
          <w:color w:val="000000"/>
        </w:rPr>
        <w:t xml:space="preserve"> these systems still cover only a fraction of </w:t>
      </w:r>
      <w:r w:rsidRPr="006C71EA">
        <w:t>total</w:t>
      </w:r>
      <w:r w:rsidRPr="006C71EA">
        <w:rPr>
          <w:color w:val="000000"/>
        </w:rPr>
        <w:t xml:space="preserve"> emissions.</w:t>
      </w:r>
      <w:r w:rsidRPr="006C71EA">
        <w:t xml:space="preserve"> </w:t>
      </w:r>
      <w:r w:rsidRPr="006C71EA">
        <w:rPr>
          <w:color w:val="000000"/>
        </w:rPr>
        <w:t>Some nations or sectors do n</w:t>
      </w:r>
      <w:r w:rsidRPr="006C71EA">
        <w:t>o</w:t>
      </w:r>
      <w:r w:rsidRPr="006C71EA">
        <w:rPr>
          <w:color w:val="000000"/>
        </w:rPr>
        <w:t>t have them at all (or they are weakly enforced).</w:t>
      </w:r>
      <w:r w:rsidRPr="006C71EA">
        <w:t xml:space="preserve">  </w:t>
      </w:r>
      <w:r w:rsidRPr="006C71EA">
        <w:rPr>
          <w:color w:val="000000"/>
        </w:rPr>
        <w:t xml:space="preserve">Even where ETSs exist, they can omit smaller emitters, international </w:t>
      </w:r>
      <w:r w:rsidRPr="006C71EA">
        <w:t>activities</w:t>
      </w:r>
      <w:r w:rsidRPr="006C71EA">
        <w:rPr>
          <w:color w:val="000000"/>
        </w:rPr>
        <w:t>, or scope 3 emissions.</w:t>
      </w:r>
    </w:p>
    <w:p w14:paraId="4F447548" w14:textId="77777777" w:rsidR="00D634FC" w:rsidRPr="006C71EA" w:rsidRDefault="00D634FC" w:rsidP="006C71EA">
      <w:pPr>
        <w:pBdr>
          <w:top w:val="nil"/>
          <w:left w:val="nil"/>
          <w:bottom w:val="nil"/>
          <w:right w:val="nil"/>
          <w:between w:val="nil"/>
        </w:pBdr>
        <w:spacing w:after="0"/>
        <w:jc w:val="both"/>
      </w:pPr>
    </w:p>
    <w:p w14:paraId="1054254C" w14:textId="77777777" w:rsidR="00D634FC" w:rsidRPr="006C71EA" w:rsidRDefault="00D634FC" w:rsidP="006C71EA">
      <w:pPr>
        <w:pBdr>
          <w:top w:val="nil"/>
          <w:left w:val="nil"/>
          <w:bottom w:val="nil"/>
          <w:right w:val="nil"/>
          <w:between w:val="nil"/>
        </w:pBdr>
        <w:spacing w:after="0"/>
        <w:jc w:val="both"/>
      </w:pPr>
      <w:r w:rsidRPr="006C71EA">
        <w:t>These limitations leave large portions of the economy unregulated, which is where the VCM steps in.</w:t>
      </w:r>
    </w:p>
    <w:p w14:paraId="07279BCC" w14:textId="77777777" w:rsidR="00D634FC" w:rsidRPr="006C71EA" w:rsidRDefault="00D634FC" w:rsidP="006C71EA">
      <w:pPr>
        <w:pBdr>
          <w:top w:val="nil"/>
          <w:left w:val="nil"/>
          <w:bottom w:val="nil"/>
          <w:right w:val="nil"/>
          <w:between w:val="nil"/>
        </w:pBdr>
        <w:spacing w:after="0"/>
        <w:ind w:left="1440"/>
        <w:jc w:val="both"/>
        <w:rPr>
          <w:color w:val="000000"/>
        </w:rPr>
      </w:pPr>
    </w:p>
    <w:p w14:paraId="159083A7" w14:textId="77777777" w:rsidR="00D634FC" w:rsidRPr="006C71EA" w:rsidRDefault="00D634FC" w:rsidP="006C71EA">
      <w:pPr>
        <w:pBdr>
          <w:top w:val="nil"/>
          <w:left w:val="nil"/>
          <w:bottom w:val="nil"/>
          <w:right w:val="nil"/>
          <w:between w:val="nil"/>
        </w:pBdr>
        <w:spacing w:after="0"/>
        <w:jc w:val="both"/>
        <w:rPr>
          <w:color w:val="000000"/>
        </w:rPr>
      </w:pPr>
      <w:r w:rsidRPr="006C71EA">
        <w:rPr>
          <w:b/>
          <w:bCs/>
          <w:color w:val="000000"/>
        </w:rPr>
        <w:t>Uncovered emissions:</w:t>
      </w:r>
      <w:r w:rsidRPr="006C71EA">
        <w:rPr>
          <w:color w:val="000000"/>
        </w:rPr>
        <w:t xml:space="preserve"> Many emissions, especially in supply chains, agriculture, land use, and aviation</w:t>
      </w:r>
      <w:r w:rsidRPr="006C71EA">
        <w:t>,</w:t>
      </w:r>
      <w:r w:rsidRPr="006C71EA">
        <w:rPr>
          <w:color w:val="000000"/>
        </w:rPr>
        <w:t xml:space="preserve"> lie outside regulated carbon markets.</w:t>
      </w:r>
      <w:r w:rsidRPr="006C71EA">
        <w:t xml:space="preserve"> </w:t>
      </w:r>
      <w:r w:rsidRPr="006C71EA">
        <w:rPr>
          <w:color w:val="000000"/>
        </w:rPr>
        <w:t>Some sectors cannot, at present, decarbonise fully (e.g. cement, aviation, certain industrial processes).</w:t>
      </w:r>
      <w:r w:rsidRPr="006C71EA">
        <w:t xml:space="preserve"> </w:t>
      </w:r>
      <w:r w:rsidRPr="006C71EA">
        <w:rPr>
          <w:color w:val="000000"/>
        </w:rPr>
        <w:t>Corporations with net-zero or carbon-neutral pledges there</w:t>
      </w:r>
      <w:r w:rsidRPr="006C71EA">
        <w:t>fore</w:t>
      </w:r>
      <w:r w:rsidRPr="006C71EA">
        <w:rPr>
          <w:color w:val="000000"/>
        </w:rPr>
        <w:t xml:space="preserve"> look to offset the residual emissions they cannot eliminate themselves.</w:t>
      </w:r>
    </w:p>
    <w:p w14:paraId="64176D64" w14:textId="77777777" w:rsidR="00D634FC" w:rsidRPr="006C71EA" w:rsidRDefault="00D634FC" w:rsidP="006C71EA">
      <w:pPr>
        <w:pBdr>
          <w:top w:val="nil"/>
          <w:left w:val="nil"/>
          <w:bottom w:val="nil"/>
          <w:right w:val="nil"/>
          <w:between w:val="nil"/>
        </w:pBdr>
        <w:spacing w:after="0"/>
        <w:jc w:val="both"/>
      </w:pPr>
    </w:p>
    <w:p w14:paraId="71CC795B" w14:textId="77777777" w:rsidR="00D634FC" w:rsidRPr="006C71EA" w:rsidRDefault="00D634FC" w:rsidP="006C71EA">
      <w:pPr>
        <w:jc w:val="both"/>
      </w:pPr>
      <w:r w:rsidRPr="006C71EA">
        <w:t>Hence, the VCM acts as a market-based bridge, helping to fill in gaps, channel financing into emissions mitigation and removal projects, and enable actors to make credible emissions claims.</w:t>
      </w:r>
    </w:p>
    <w:p w14:paraId="4C5884B4" w14:textId="77777777" w:rsidR="00D634FC" w:rsidRPr="0056165C" w:rsidRDefault="00D634FC" w:rsidP="0056165C">
      <w:pPr>
        <w:pStyle w:val="Heading2"/>
      </w:pPr>
      <w:r w:rsidRPr="0056165C">
        <w:t>How does the VCM work?</w:t>
      </w:r>
    </w:p>
    <w:p w14:paraId="7AE7D5C3" w14:textId="77777777" w:rsidR="00D634FC" w:rsidRPr="006C71EA" w:rsidRDefault="00D634FC" w:rsidP="006C71EA">
      <w:pPr>
        <w:spacing w:after="0"/>
        <w:jc w:val="both"/>
      </w:pPr>
    </w:p>
    <w:p w14:paraId="2B009B05" w14:textId="77777777" w:rsidR="00D634FC" w:rsidRPr="006C71EA" w:rsidRDefault="00D634FC" w:rsidP="006C71EA">
      <w:pPr>
        <w:spacing w:after="0"/>
        <w:jc w:val="both"/>
      </w:pPr>
      <w:r w:rsidRPr="006C71EA">
        <w:t xml:space="preserve">Each carbon credit represents one tonne of CO₂ (or equivalent GHG) that has been either </w:t>
      </w:r>
      <w:r w:rsidRPr="006C71EA">
        <w:rPr>
          <w:b/>
          <w:bCs/>
        </w:rPr>
        <w:t>avoided</w:t>
      </w:r>
      <w:r w:rsidRPr="006C71EA">
        <w:t xml:space="preserve"> (prevented from being emitted) or </w:t>
      </w:r>
      <w:r w:rsidRPr="006C71EA">
        <w:rPr>
          <w:b/>
          <w:bCs/>
        </w:rPr>
        <w:t>removed</w:t>
      </w:r>
      <w:r w:rsidRPr="006C71EA">
        <w:t xml:space="preserve"> (taken out of the atmosphere).</w:t>
      </w:r>
    </w:p>
    <w:p w14:paraId="5147C7FC" w14:textId="77777777" w:rsidR="00D634FC" w:rsidRPr="006C71EA" w:rsidRDefault="00D634FC" w:rsidP="006C71EA">
      <w:pPr>
        <w:spacing w:after="0"/>
        <w:jc w:val="both"/>
      </w:pPr>
    </w:p>
    <w:p w14:paraId="49CFFF17" w14:textId="77777777" w:rsidR="00D634FC" w:rsidRPr="006C71EA" w:rsidRDefault="00D634FC" w:rsidP="006C71EA">
      <w:pPr>
        <w:spacing w:after="0"/>
        <w:jc w:val="both"/>
      </w:pPr>
      <w:r w:rsidRPr="006C71EA">
        <w:t>Project developers — such as those running reforestation initiatives, renewable energy installations, or cookstove programmes — can issue credits if their projects are verified by independent standards such as Verra or Gold Standard. Buyers, often companies with climate targets, purchase and then “retire” these credits so they cannot be reused.</w:t>
      </w:r>
    </w:p>
    <w:p w14:paraId="4B79E873" w14:textId="77777777" w:rsidR="00D634FC" w:rsidRPr="006C71EA" w:rsidRDefault="00D634FC" w:rsidP="006C71EA">
      <w:pPr>
        <w:spacing w:after="0"/>
        <w:jc w:val="both"/>
      </w:pPr>
    </w:p>
    <w:p w14:paraId="1ED76E7A" w14:textId="77777777" w:rsidR="00D634FC" w:rsidRPr="006C71EA" w:rsidRDefault="00D634FC" w:rsidP="006C71EA">
      <w:pPr>
        <w:spacing w:after="0"/>
        <w:jc w:val="both"/>
      </w:pPr>
      <w:r w:rsidRPr="006C71EA">
        <w:lastRenderedPageBreak/>
        <w:t>In essence, the VCM mirrors a regulated market but operates voluntarily. It provides a mechanism for private actors to take responsibility for residual emissions and for projects to access funding that might not otherwise exist.</w:t>
      </w:r>
    </w:p>
    <w:p w14:paraId="49B60AF9" w14:textId="77777777" w:rsidR="00D634FC" w:rsidRPr="006C71EA" w:rsidRDefault="00D634FC" w:rsidP="006C71EA">
      <w:pPr>
        <w:jc w:val="both"/>
        <w:rPr>
          <w:b/>
          <w:bCs/>
        </w:rPr>
      </w:pPr>
    </w:p>
    <w:p w14:paraId="67CFC553" w14:textId="77777777" w:rsidR="00D634FC" w:rsidRPr="0056165C" w:rsidRDefault="00D634FC" w:rsidP="0056165C">
      <w:pPr>
        <w:pStyle w:val="Heading2"/>
      </w:pPr>
      <w:r w:rsidRPr="0056165C">
        <w:t>Why does the VCM matter?</w:t>
      </w:r>
    </w:p>
    <w:p w14:paraId="28D1FD4F" w14:textId="77777777" w:rsidR="00D634FC" w:rsidRPr="006C71EA" w:rsidRDefault="00D634FC" w:rsidP="006C71EA">
      <w:pPr>
        <w:jc w:val="both"/>
      </w:pPr>
      <w:r w:rsidRPr="006C71EA">
        <w:t>The VCM is crucial because most of the world’s emissions fall outside of regulated schemes. Today, only around 28% of global GHG emissions are covered by carbon pricing instruments.</w:t>
      </w:r>
      <w:r w:rsidRPr="006C71EA">
        <w:rPr>
          <w:vertAlign w:val="superscript"/>
        </w:rPr>
        <w:footnoteReference w:id="1"/>
      </w:r>
      <w:r w:rsidRPr="006C71EA">
        <w:t xml:space="preserve"> </w:t>
      </w:r>
    </w:p>
    <w:p w14:paraId="1AEF98B7" w14:textId="77777777" w:rsidR="00D634FC" w:rsidRPr="006C71EA" w:rsidRDefault="00D634FC" w:rsidP="006C71EA">
      <w:pPr>
        <w:jc w:val="both"/>
      </w:pPr>
      <w:r w:rsidRPr="006C71EA">
        <w:t>In the most optimistic sense, the VCM helps bridge the gap in addressing the remaining 72% of global emissions. Ideally, it should:</w:t>
      </w:r>
    </w:p>
    <w:p w14:paraId="74C27639" w14:textId="77777777" w:rsidR="00D634FC" w:rsidRPr="006C71EA" w:rsidRDefault="00D634FC" w:rsidP="006C71EA">
      <w:pPr>
        <w:numPr>
          <w:ilvl w:val="0"/>
          <w:numId w:val="1"/>
        </w:numPr>
        <w:pBdr>
          <w:top w:val="nil"/>
          <w:left w:val="nil"/>
          <w:bottom w:val="nil"/>
          <w:right w:val="nil"/>
          <w:between w:val="nil"/>
        </w:pBdr>
        <w:spacing w:after="0"/>
        <w:jc w:val="both"/>
      </w:pPr>
      <w:r w:rsidRPr="006C71EA">
        <w:rPr>
          <w:color w:val="000000"/>
        </w:rPr>
        <w:t>Mobilise capital into mitigation and removal projects that would not otherwise be financed.</w:t>
      </w:r>
      <w:r w:rsidRPr="006C71EA">
        <w:rPr>
          <w:color w:val="000000"/>
          <w:vertAlign w:val="superscript"/>
        </w:rPr>
        <w:footnoteReference w:id="2"/>
      </w:r>
      <w:r w:rsidRPr="006C71EA">
        <w:rPr>
          <w:color w:val="000000"/>
        </w:rPr>
        <w:t xml:space="preserve"> </w:t>
      </w:r>
    </w:p>
    <w:p w14:paraId="633E6F6D" w14:textId="77777777" w:rsidR="00D634FC" w:rsidRPr="006C71EA" w:rsidRDefault="00D634FC" w:rsidP="006C71EA">
      <w:pPr>
        <w:numPr>
          <w:ilvl w:val="0"/>
          <w:numId w:val="1"/>
        </w:numPr>
        <w:pBdr>
          <w:top w:val="nil"/>
          <w:left w:val="nil"/>
          <w:bottom w:val="nil"/>
          <w:right w:val="nil"/>
          <w:between w:val="nil"/>
        </w:pBdr>
        <w:spacing w:after="0"/>
        <w:jc w:val="both"/>
      </w:pPr>
      <w:r w:rsidRPr="006C71EA">
        <w:rPr>
          <w:color w:val="000000"/>
        </w:rPr>
        <w:t xml:space="preserve">Accelerate innovation in removals </w:t>
      </w:r>
      <w:r w:rsidRPr="006C71EA">
        <w:t>such as</w:t>
      </w:r>
      <w:r w:rsidRPr="006C71EA">
        <w:rPr>
          <w:color w:val="000000"/>
        </w:rPr>
        <w:t xml:space="preserve"> Direct Air Capture (DAC) or Bioenergy with Carbon Capture and Storage (BECCS) by creating demand and clear future revenue streams. </w:t>
      </w:r>
    </w:p>
    <w:p w14:paraId="6D459910" w14:textId="77777777" w:rsidR="00D634FC" w:rsidRPr="006C71EA" w:rsidRDefault="00D634FC" w:rsidP="006C71EA">
      <w:pPr>
        <w:numPr>
          <w:ilvl w:val="0"/>
          <w:numId w:val="1"/>
        </w:numPr>
        <w:pBdr>
          <w:top w:val="nil"/>
          <w:left w:val="nil"/>
          <w:bottom w:val="nil"/>
          <w:right w:val="nil"/>
          <w:between w:val="nil"/>
        </w:pBdr>
        <w:jc w:val="both"/>
      </w:pPr>
      <w:r w:rsidRPr="006C71EA">
        <w:rPr>
          <w:color w:val="000000"/>
        </w:rPr>
        <w:t xml:space="preserve">Act as a transition tool bridging the time until further regulation takes effect, </w:t>
      </w:r>
      <w:r w:rsidRPr="006C71EA">
        <w:t>enabling</w:t>
      </w:r>
      <w:r w:rsidRPr="006C71EA">
        <w:rPr>
          <w:color w:val="000000"/>
        </w:rPr>
        <w:t xml:space="preserve"> deeper decarbonisation. </w:t>
      </w:r>
    </w:p>
    <w:p w14:paraId="220DED4E" w14:textId="77777777" w:rsidR="00D634FC" w:rsidRPr="006C71EA" w:rsidRDefault="00D634FC" w:rsidP="006C71EA">
      <w:pPr>
        <w:pBdr>
          <w:top w:val="nil"/>
          <w:left w:val="nil"/>
          <w:bottom w:val="nil"/>
          <w:right w:val="nil"/>
          <w:between w:val="nil"/>
        </w:pBdr>
        <w:jc w:val="both"/>
      </w:pPr>
      <w:r w:rsidRPr="006C71EA">
        <w:t>Economically, the VCM can be seen as a second-best mechanism to internalise emissions externalities in the absence of comprehensive regulation - an imperfect but useful complement to state-led decarbonisation policy.</w:t>
      </w:r>
    </w:p>
    <w:p w14:paraId="0B5591CC" w14:textId="77777777" w:rsidR="00D634FC" w:rsidRPr="006C71EA" w:rsidRDefault="00D634FC" w:rsidP="006C71EA">
      <w:pPr>
        <w:jc w:val="both"/>
        <w:rPr>
          <w:b/>
          <w:bCs/>
        </w:rPr>
      </w:pPr>
      <w:r w:rsidRPr="006C71EA">
        <w:rPr>
          <w:b/>
          <w:bCs/>
        </w:rPr>
        <w:t>Additionality</w:t>
      </w:r>
    </w:p>
    <w:p w14:paraId="6CC6E505" w14:textId="77777777" w:rsidR="00D634FC" w:rsidRPr="006C71EA" w:rsidRDefault="00D634FC" w:rsidP="006C71EA">
      <w:pPr>
        <w:jc w:val="both"/>
      </w:pPr>
      <w:r w:rsidRPr="006C71EA">
        <w:t xml:space="preserve">Whether the VCM functions effectively depends critically depends on one idea: </w:t>
      </w:r>
      <w:r w:rsidRPr="006C71EA">
        <w:rPr>
          <w:b/>
          <w:bCs/>
        </w:rPr>
        <w:t>additionality</w:t>
      </w:r>
      <w:r w:rsidRPr="006C71EA">
        <w:t xml:space="preserve">. </w:t>
      </w:r>
    </w:p>
    <w:p w14:paraId="254CED93" w14:textId="77777777" w:rsidR="00D634FC" w:rsidRPr="006C71EA" w:rsidRDefault="00D634FC" w:rsidP="006C71EA">
      <w:pPr>
        <w:jc w:val="both"/>
      </w:pPr>
      <w:r w:rsidRPr="006C71EA">
        <w:t xml:space="preserve">A credit only has value if it represents an emissions reduction or removal that would not have happened without the project or the buyer’s money. If a forest was going to be protected anyway, or a wind farm would have been built regardless, then issuing credits for it does not reduce global emissions — it just moves paper around. </w:t>
      </w:r>
    </w:p>
    <w:p w14:paraId="1342E484" w14:textId="77777777" w:rsidR="00D634FC" w:rsidRPr="006C71EA" w:rsidRDefault="00D634FC" w:rsidP="006C71EA">
      <w:pPr>
        <w:jc w:val="both"/>
      </w:pPr>
      <w:r w:rsidRPr="006C71EA">
        <w:t xml:space="preserve">Ensuring additionality is difficult, because it means proving a counterfactual: what would have happened in the absence of the project. Yet it’s essential. Without additionality, the VCM doesn’t accelerate climate action — it risks delaying it by giving companies the possibility of illuding their customers into thinking they made a climate neutral choice.  In other words, </w:t>
      </w:r>
      <w:r w:rsidRPr="006C71EA">
        <w:rPr>
          <w:b/>
          <w:bCs/>
        </w:rPr>
        <w:t>greenwashing</w:t>
      </w:r>
      <w:r w:rsidRPr="006C71EA">
        <w:t xml:space="preserve">. </w:t>
      </w:r>
    </w:p>
    <w:p w14:paraId="084553B4" w14:textId="77777777" w:rsidR="00D634FC" w:rsidRPr="006C71EA" w:rsidRDefault="00D634FC" w:rsidP="006C71EA">
      <w:pPr>
        <w:jc w:val="both"/>
      </w:pPr>
      <w:r w:rsidRPr="006C71EA">
        <w:t xml:space="preserve">For example, in March 2024, a Dutch court ruled that KLM’s advertising was misleading. The court found that 15 of 19 environmental claims – including ones about reforestation, </w:t>
      </w:r>
      <w:r w:rsidRPr="006C71EA">
        <w:lastRenderedPageBreak/>
        <w:t>sustainable aviation fuel (SAF), and “carbon-neutral” flights – were too vague and gave the false impression that flying with KLM was or could be sustainable.</w:t>
      </w:r>
      <w:r w:rsidRPr="006C71EA">
        <w:rPr>
          <w:vertAlign w:val="superscript"/>
        </w:rPr>
        <w:footnoteReference w:id="3"/>
      </w:r>
    </w:p>
    <w:p w14:paraId="66A8D942" w14:textId="77777777" w:rsidR="00D634FC" w:rsidRPr="0056165C" w:rsidRDefault="00D634FC" w:rsidP="0056165C">
      <w:pPr>
        <w:pStyle w:val="Heading2"/>
      </w:pPr>
      <w:r w:rsidRPr="0056165C">
        <w:t>The VCM today</w:t>
      </w:r>
    </w:p>
    <w:p w14:paraId="76A3B401" w14:textId="77777777" w:rsidR="00D634FC" w:rsidRPr="006C71EA" w:rsidRDefault="00D634FC" w:rsidP="006C71EA">
      <w:pPr>
        <w:jc w:val="both"/>
      </w:pPr>
      <w:r w:rsidRPr="006C71EA">
        <w:t>Despite its controversies, the market is already active and expanding. In 2023, offset programmes drew nearly USD 2 billion as firms sought to compensate for emissions from factories, flights, logistics, and more.</w:t>
      </w:r>
      <w:r w:rsidRPr="006C71EA">
        <w:rPr>
          <w:vertAlign w:val="superscript"/>
        </w:rPr>
        <w:footnoteReference w:id="4"/>
      </w:r>
      <w:r w:rsidRPr="006C71EA">
        <w:t xml:space="preserve"> Around two-thirds of the world’s largest companies with net-zero pledges reportedly use offsets in some form.</w:t>
      </w:r>
      <w:r w:rsidRPr="006C71EA">
        <w:rPr>
          <w:vertAlign w:val="superscript"/>
        </w:rPr>
        <w:footnoteReference w:id="5"/>
      </w:r>
      <w:r w:rsidRPr="006C71EA">
        <w:t xml:space="preserve"> </w:t>
      </w:r>
    </w:p>
    <w:p w14:paraId="013D944F" w14:textId="77777777" w:rsidR="00D634FC" w:rsidRPr="006C71EA" w:rsidRDefault="00D634FC" w:rsidP="006C71EA">
      <w:pPr>
        <w:jc w:val="both"/>
      </w:pPr>
      <w:r w:rsidRPr="006C71EA">
        <w:t xml:space="preserve">This shows how deeply the VCM has already become embedded in corporate climate strategies, even as debates about its credibility continue. </w:t>
      </w:r>
    </w:p>
    <w:p w14:paraId="326F5D9D" w14:textId="77777777" w:rsidR="00D634FC" w:rsidRPr="0056165C" w:rsidRDefault="00D634FC" w:rsidP="0056165C">
      <w:pPr>
        <w:pStyle w:val="Heading2"/>
      </w:pPr>
      <w:r w:rsidRPr="0056165C">
        <w:t>VCM Taxonomy</w:t>
      </w:r>
    </w:p>
    <w:p w14:paraId="75670B60" w14:textId="77777777" w:rsidR="00D634FC" w:rsidRPr="006C71EA" w:rsidRDefault="00D634FC" w:rsidP="006C71EA">
      <w:pPr>
        <w:jc w:val="both"/>
      </w:pPr>
      <w:r w:rsidRPr="006C71EA">
        <w:t xml:space="preserve">The voluntary carbon market isn’t one market but many. Credits can come from avoiding emissions, removing carbon, or financing transitions such as early coal retirement. Each delivers a different kind of emissions outcome with varying permanence and reliability. </w:t>
      </w:r>
    </w:p>
    <w:p w14:paraId="0D2C6830" w14:textId="77777777" w:rsidR="00D634FC" w:rsidRPr="006C71EA" w:rsidRDefault="00D634FC" w:rsidP="006C71EA">
      <w:pPr>
        <w:jc w:val="both"/>
        <w:rPr>
          <w:b/>
          <w:bCs/>
        </w:rPr>
      </w:pPr>
      <w:r w:rsidRPr="006C71EA">
        <w:t>Understanding these differences is essential, because not all credits have equal impact. The table below outlines the main types of credits found in today’s VCM.</w:t>
      </w:r>
    </w:p>
    <w:tbl>
      <w:tblPr>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03"/>
        <w:gridCol w:w="1803"/>
        <w:gridCol w:w="1803"/>
        <w:gridCol w:w="1803"/>
        <w:gridCol w:w="1804"/>
      </w:tblGrid>
      <w:tr w:rsidR="00D634FC" w:rsidRPr="006C71EA" w14:paraId="7424E755" w14:textId="77777777" w:rsidTr="00FD372F">
        <w:tc>
          <w:tcPr>
            <w:tcW w:w="1803" w:type="dxa"/>
          </w:tcPr>
          <w:p w14:paraId="7BA5B05B" w14:textId="77777777" w:rsidR="00D634FC" w:rsidRPr="006C71EA" w:rsidRDefault="00D634FC" w:rsidP="006C71EA">
            <w:pPr>
              <w:jc w:val="both"/>
              <w:rPr>
                <w:b/>
                <w:bCs/>
              </w:rPr>
            </w:pPr>
            <w:r w:rsidRPr="006C71EA">
              <w:rPr>
                <w:b/>
                <w:bCs/>
              </w:rPr>
              <w:t>Category</w:t>
            </w:r>
          </w:p>
        </w:tc>
        <w:tc>
          <w:tcPr>
            <w:tcW w:w="1803" w:type="dxa"/>
          </w:tcPr>
          <w:p w14:paraId="1E6B98BC" w14:textId="77777777" w:rsidR="00D634FC" w:rsidRPr="006C71EA" w:rsidRDefault="00D634FC" w:rsidP="006C71EA">
            <w:pPr>
              <w:jc w:val="both"/>
              <w:rPr>
                <w:b/>
                <w:bCs/>
              </w:rPr>
            </w:pPr>
            <w:r w:rsidRPr="006C71EA">
              <w:rPr>
                <w:b/>
                <w:bCs/>
              </w:rPr>
              <w:t>Typical Projects</w:t>
            </w:r>
          </w:p>
        </w:tc>
        <w:tc>
          <w:tcPr>
            <w:tcW w:w="1803" w:type="dxa"/>
          </w:tcPr>
          <w:p w14:paraId="20CF1993" w14:textId="77777777" w:rsidR="00D634FC" w:rsidRPr="006C71EA" w:rsidRDefault="00D634FC" w:rsidP="006C71EA">
            <w:pPr>
              <w:jc w:val="both"/>
              <w:rPr>
                <w:b/>
                <w:bCs/>
              </w:rPr>
            </w:pPr>
            <w:r w:rsidRPr="006C71EA">
              <w:rPr>
                <w:b/>
                <w:bCs/>
              </w:rPr>
              <w:t>Permanence</w:t>
            </w:r>
          </w:p>
        </w:tc>
        <w:tc>
          <w:tcPr>
            <w:tcW w:w="1803" w:type="dxa"/>
          </w:tcPr>
          <w:p w14:paraId="4414D57F" w14:textId="77777777" w:rsidR="00D634FC" w:rsidRPr="006C71EA" w:rsidRDefault="00D634FC" w:rsidP="006C71EA">
            <w:pPr>
              <w:jc w:val="both"/>
              <w:rPr>
                <w:b/>
                <w:bCs/>
              </w:rPr>
            </w:pPr>
            <w:r w:rsidRPr="006C71EA">
              <w:rPr>
                <w:b/>
                <w:bCs/>
              </w:rPr>
              <w:t>Typical price range (USD/</w:t>
            </w:r>
            <w:proofErr w:type="spellStart"/>
            <w:r w:rsidRPr="006C71EA">
              <w:rPr>
                <w:b/>
                <w:bCs/>
              </w:rPr>
              <w:t>tCO₂e</w:t>
            </w:r>
            <w:proofErr w:type="spellEnd"/>
            <w:r w:rsidRPr="006C71EA">
              <w:rPr>
                <w:b/>
                <w:bCs/>
              </w:rPr>
              <w:t>)</w:t>
            </w:r>
          </w:p>
        </w:tc>
        <w:tc>
          <w:tcPr>
            <w:tcW w:w="1804" w:type="dxa"/>
          </w:tcPr>
          <w:p w14:paraId="6E4F52B5" w14:textId="77777777" w:rsidR="00D634FC" w:rsidRPr="006C71EA" w:rsidRDefault="00D634FC" w:rsidP="006C71EA">
            <w:pPr>
              <w:jc w:val="both"/>
              <w:rPr>
                <w:b/>
                <w:bCs/>
              </w:rPr>
            </w:pPr>
            <w:r w:rsidRPr="006C71EA">
              <w:rPr>
                <w:b/>
                <w:bCs/>
              </w:rPr>
              <w:t>Key integrity risks</w:t>
            </w:r>
          </w:p>
        </w:tc>
      </w:tr>
      <w:tr w:rsidR="00D634FC" w:rsidRPr="006C71EA" w14:paraId="7C988322" w14:textId="77777777" w:rsidTr="00FD372F">
        <w:tc>
          <w:tcPr>
            <w:tcW w:w="1803" w:type="dxa"/>
          </w:tcPr>
          <w:p w14:paraId="46CB9234" w14:textId="77777777" w:rsidR="00D634FC" w:rsidRPr="006C71EA" w:rsidRDefault="00D634FC" w:rsidP="006C71EA">
            <w:pPr>
              <w:jc w:val="both"/>
            </w:pPr>
            <w:r w:rsidRPr="006C71EA">
              <w:t>Avoidance/ Reduction</w:t>
            </w:r>
          </w:p>
        </w:tc>
        <w:tc>
          <w:tcPr>
            <w:tcW w:w="1803" w:type="dxa"/>
          </w:tcPr>
          <w:p w14:paraId="0AB4A524" w14:textId="77777777" w:rsidR="00D634FC" w:rsidRPr="006C71EA" w:rsidRDefault="00D634FC" w:rsidP="006C71EA">
            <w:pPr>
              <w:jc w:val="both"/>
            </w:pPr>
            <w:r w:rsidRPr="006C71EA">
              <w:t>Improved cookstoves, methane capture, renewable energy, REDD+ forest protection</w:t>
            </w:r>
          </w:p>
        </w:tc>
        <w:tc>
          <w:tcPr>
            <w:tcW w:w="1803" w:type="dxa"/>
          </w:tcPr>
          <w:p w14:paraId="4F301E29" w14:textId="77777777" w:rsidR="00D634FC" w:rsidRPr="006C71EA" w:rsidRDefault="00D634FC" w:rsidP="006C71EA">
            <w:pPr>
              <w:jc w:val="both"/>
            </w:pPr>
            <w:r w:rsidRPr="006C71EA">
              <w:t>Low-medium</w:t>
            </w:r>
          </w:p>
        </w:tc>
        <w:tc>
          <w:tcPr>
            <w:tcW w:w="1803" w:type="dxa"/>
          </w:tcPr>
          <w:p w14:paraId="0401DAB2" w14:textId="77777777" w:rsidR="00D634FC" w:rsidRPr="006C71EA" w:rsidRDefault="00D634FC" w:rsidP="006C71EA">
            <w:pPr>
              <w:jc w:val="both"/>
            </w:pPr>
            <w:r w:rsidRPr="006C71EA">
              <w:t>2-10</w:t>
            </w:r>
          </w:p>
        </w:tc>
        <w:tc>
          <w:tcPr>
            <w:tcW w:w="1804" w:type="dxa"/>
          </w:tcPr>
          <w:p w14:paraId="562FA34C" w14:textId="77777777" w:rsidR="00D634FC" w:rsidRPr="006C71EA" w:rsidRDefault="00D634FC" w:rsidP="006C71EA">
            <w:pPr>
              <w:jc w:val="both"/>
            </w:pPr>
            <w:r w:rsidRPr="006C71EA">
              <w:t>Weak baselines, leakage</w:t>
            </w:r>
          </w:p>
        </w:tc>
      </w:tr>
      <w:tr w:rsidR="00D634FC" w:rsidRPr="006C71EA" w14:paraId="5366F22F" w14:textId="77777777" w:rsidTr="00FD372F">
        <w:tc>
          <w:tcPr>
            <w:tcW w:w="1803" w:type="dxa"/>
          </w:tcPr>
          <w:p w14:paraId="01EB981B" w14:textId="77777777" w:rsidR="00D634FC" w:rsidRPr="006C71EA" w:rsidRDefault="00D634FC" w:rsidP="006C71EA">
            <w:pPr>
              <w:jc w:val="both"/>
            </w:pPr>
            <w:r w:rsidRPr="006C71EA">
              <w:t>Nature-based removals</w:t>
            </w:r>
          </w:p>
        </w:tc>
        <w:tc>
          <w:tcPr>
            <w:tcW w:w="1803" w:type="dxa"/>
          </w:tcPr>
          <w:p w14:paraId="4636F4BD" w14:textId="77777777" w:rsidR="00D634FC" w:rsidRPr="006C71EA" w:rsidRDefault="00D634FC" w:rsidP="006C71EA">
            <w:pPr>
              <w:jc w:val="both"/>
            </w:pPr>
            <w:r w:rsidRPr="006C71EA">
              <w:t>Afforestation, reforestation, soil carbon enhancement</w:t>
            </w:r>
          </w:p>
        </w:tc>
        <w:tc>
          <w:tcPr>
            <w:tcW w:w="1803" w:type="dxa"/>
          </w:tcPr>
          <w:p w14:paraId="4557C197" w14:textId="77777777" w:rsidR="00D634FC" w:rsidRPr="006C71EA" w:rsidRDefault="00D634FC" w:rsidP="006C71EA">
            <w:pPr>
              <w:jc w:val="both"/>
            </w:pPr>
            <w:r w:rsidRPr="006C71EA">
              <w:t>Medium</w:t>
            </w:r>
          </w:p>
        </w:tc>
        <w:tc>
          <w:tcPr>
            <w:tcW w:w="1803" w:type="dxa"/>
          </w:tcPr>
          <w:p w14:paraId="52AAA0E9" w14:textId="77777777" w:rsidR="00D634FC" w:rsidRPr="006C71EA" w:rsidRDefault="00D634FC" w:rsidP="006C71EA">
            <w:pPr>
              <w:jc w:val="both"/>
            </w:pPr>
            <w:r w:rsidRPr="006C71EA">
              <w:t>10-25</w:t>
            </w:r>
          </w:p>
        </w:tc>
        <w:tc>
          <w:tcPr>
            <w:tcW w:w="1804" w:type="dxa"/>
          </w:tcPr>
          <w:p w14:paraId="76EBE96D" w14:textId="77777777" w:rsidR="00D634FC" w:rsidRPr="006C71EA" w:rsidRDefault="00D634FC" w:rsidP="006C71EA">
            <w:pPr>
              <w:jc w:val="both"/>
            </w:pPr>
            <w:r w:rsidRPr="006C71EA">
              <w:t>Reversal risk (fire, logging), measurement uncertainty</w:t>
            </w:r>
          </w:p>
        </w:tc>
      </w:tr>
      <w:tr w:rsidR="00D634FC" w:rsidRPr="006C71EA" w14:paraId="491D2E65" w14:textId="77777777" w:rsidTr="00FD372F">
        <w:tc>
          <w:tcPr>
            <w:tcW w:w="1803" w:type="dxa"/>
          </w:tcPr>
          <w:p w14:paraId="2F65CB05" w14:textId="77777777" w:rsidR="00D634FC" w:rsidRPr="006C71EA" w:rsidRDefault="00D634FC" w:rsidP="006C71EA">
            <w:pPr>
              <w:jc w:val="both"/>
            </w:pPr>
            <w:r w:rsidRPr="006C71EA">
              <w:lastRenderedPageBreak/>
              <w:t>Technology-based removals</w:t>
            </w:r>
          </w:p>
        </w:tc>
        <w:tc>
          <w:tcPr>
            <w:tcW w:w="1803" w:type="dxa"/>
          </w:tcPr>
          <w:p w14:paraId="6F2A3F67" w14:textId="77777777" w:rsidR="00D634FC" w:rsidRPr="006C71EA" w:rsidRDefault="00D634FC" w:rsidP="006C71EA">
            <w:pPr>
              <w:jc w:val="both"/>
            </w:pPr>
            <w:r w:rsidRPr="006C71EA">
              <w:t>DAC, biochar, BECCS</w:t>
            </w:r>
          </w:p>
        </w:tc>
        <w:tc>
          <w:tcPr>
            <w:tcW w:w="1803" w:type="dxa"/>
          </w:tcPr>
          <w:p w14:paraId="42CF4249" w14:textId="77777777" w:rsidR="00D634FC" w:rsidRPr="006C71EA" w:rsidRDefault="00D634FC" w:rsidP="006C71EA">
            <w:pPr>
              <w:jc w:val="both"/>
            </w:pPr>
            <w:r w:rsidRPr="006C71EA">
              <w:t>High</w:t>
            </w:r>
          </w:p>
        </w:tc>
        <w:tc>
          <w:tcPr>
            <w:tcW w:w="1803" w:type="dxa"/>
          </w:tcPr>
          <w:p w14:paraId="242ECBB4" w14:textId="77777777" w:rsidR="00D634FC" w:rsidRPr="006C71EA" w:rsidRDefault="00D634FC" w:rsidP="006C71EA">
            <w:pPr>
              <w:jc w:val="both"/>
            </w:pPr>
            <w:r w:rsidRPr="006C71EA">
              <w:t>80-300+</w:t>
            </w:r>
          </w:p>
        </w:tc>
        <w:tc>
          <w:tcPr>
            <w:tcW w:w="1804" w:type="dxa"/>
          </w:tcPr>
          <w:p w14:paraId="3249826C" w14:textId="77777777" w:rsidR="00D634FC" w:rsidRPr="006C71EA" w:rsidRDefault="00D634FC" w:rsidP="006C71EA">
            <w:pPr>
              <w:jc w:val="both"/>
            </w:pPr>
            <w:r w:rsidRPr="006C71EA">
              <w:t>Cost, scalability, long-term verification</w:t>
            </w:r>
          </w:p>
        </w:tc>
      </w:tr>
      <w:tr w:rsidR="00D634FC" w:rsidRPr="006C71EA" w14:paraId="63FA2AAC" w14:textId="77777777" w:rsidTr="00FD372F">
        <w:tc>
          <w:tcPr>
            <w:tcW w:w="1803" w:type="dxa"/>
          </w:tcPr>
          <w:p w14:paraId="7F89A544" w14:textId="77777777" w:rsidR="00D634FC" w:rsidRPr="006C71EA" w:rsidRDefault="00D634FC" w:rsidP="006C71EA">
            <w:pPr>
              <w:jc w:val="both"/>
            </w:pPr>
            <w:r w:rsidRPr="006C71EA">
              <w:t>Transition credits</w:t>
            </w:r>
          </w:p>
        </w:tc>
        <w:tc>
          <w:tcPr>
            <w:tcW w:w="1803" w:type="dxa"/>
          </w:tcPr>
          <w:p w14:paraId="5E9613F8" w14:textId="77777777" w:rsidR="00D634FC" w:rsidRPr="006C71EA" w:rsidRDefault="00D634FC" w:rsidP="006C71EA">
            <w:pPr>
              <w:jc w:val="both"/>
            </w:pPr>
            <w:r w:rsidRPr="006C71EA">
              <w:t>Early coal retirement, industrial retrofits, energy efficiency upgrades</w:t>
            </w:r>
          </w:p>
        </w:tc>
        <w:tc>
          <w:tcPr>
            <w:tcW w:w="1803" w:type="dxa"/>
          </w:tcPr>
          <w:p w14:paraId="3E88EB15" w14:textId="77777777" w:rsidR="00D634FC" w:rsidRPr="006C71EA" w:rsidRDefault="00D634FC" w:rsidP="006C71EA">
            <w:pPr>
              <w:jc w:val="both"/>
            </w:pPr>
            <w:r w:rsidRPr="006C71EA">
              <w:t>Variable</w:t>
            </w:r>
          </w:p>
        </w:tc>
        <w:tc>
          <w:tcPr>
            <w:tcW w:w="1803" w:type="dxa"/>
          </w:tcPr>
          <w:p w14:paraId="25AF643D" w14:textId="77777777" w:rsidR="00D634FC" w:rsidRPr="006C71EA" w:rsidRDefault="00D634FC" w:rsidP="006C71EA">
            <w:pPr>
              <w:jc w:val="both"/>
            </w:pPr>
            <w:r w:rsidRPr="006C71EA">
              <w:t>Emerging</w:t>
            </w:r>
          </w:p>
        </w:tc>
        <w:tc>
          <w:tcPr>
            <w:tcW w:w="1804" w:type="dxa"/>
          </w:tcPr>
          <w:p w14:paraId="54A5494E" w14:textId="77777777" w:rsidR="00D634FC" w:rsidRPr="006C71EA" w:rsidRDefault="00D634FC" w:rsidP="006C71EA">
            <w:pPr>
              <w:jc w:val="both"/>
            </w:pPr>
            <w:r w:rsidRPr="006C71EA">
              <w:t>Baseline integrity, double counting, political risk</w:t>
            </w:r>
          </w:p>
        </w:tc>
      </w:tr>
    </w:tbl>
    <w:p w14:paraId="0F43F38F" w14:textId="77777777" w:rsidR="00D634FC" w:rsidRPr="006C71EA" w:rsidRDefault="00D634FC" w:rsidP="006C71EA">
      <w:pPr>
        <w:jc w:val="both"/>
      </w:pPr>
    </w:p>
    <w:p w14:paraId="3CE37E14" w14:textId="77777777" w:rsidR="00D634FC" w:rsidRPr="0056165C" w:rsidRDefault="00D634FC" w:rsidP="0056165C">
      <w:pPr>
        <w:pStyle w:val="Heading2"/>
      </w:pPr>
      <w:r w:rsidRPr="0056165C">
        <w:t>The market at a crossroads</w:t>
      </w:r>
    </w:p>
    <w:p w14:paraId="7E68A9E4" w14:textId="77777777" w:rsidR="00D634FC" w:rsidRPr="006C71EA" w:rsidRDefault="00D634FC" w:rsidP="006C71EA">
      <w:pPr>
        <w:jc w:val="both"/>
      </w:pPr>
      <w:r w:rsidRPr="006C71EA">
        <w:t xml:space="preserve">Despite its growing momentum, the market remains fragmented, opaque, and uneven in quality. Some credits reflect genuine, measurable removals of carbon; others amount to little more than creative accounting. </w:t>
      </w:r>
    </w:p>
    <w:p w14:paraId="104A8DDC" w14:textId="77777777" w:rsidR="00D634FC" w:rsidRPr="006C71EA" w:rsidRDefault="00D634FC" w:rsidP="006C71EA">
      <w:pPr>
        <w:jc w:val="both"/>
      </w:pPr>
      <w:r w:rsidRPr="006C71EA">
        <w:t>The result is a system at a crossroads: it could mature into a credible partner to regulated markets - mobilising finance where it most needed - or see its legitimacy erode entirely.</w:t>
      </w:r>
    </w:p>
    <w:p w14:paraId="1730F855" w14:textId="77777777" w:rsidR="00D634FC" w:rsidRPr="006C71EA" w:rsidRDefault="00D634FC" w:rsidP="006C71EA">
      <w:pPr>
        <w:spacing w:after="0"/>
        <w:jc w:val="both"/>
      </w:pPr>
      <w:r w:rsidRPr="006C71EA">
        <w:t>The future of the VCM will depend on integrity, transparency, and governance. Done well, it can complement regulation and drive real mitigation. Done poorly, it risks becoming a distraction from the deeper transformation required to reach net zero.</w:t>
      </w:r>
    </w:p>
    <w:p w14:paraId="726C1651" w14:textId="77777777" w:rsidR="00304248" w:rsidRPr="006C71EA" w:rsidRDefault="00304248" w:rsidP="006C71EA">
      <w:pPr>
        <w:jc w:val="both"/>
      </w:pPr>
    </w:p>
    <w:sectPr w:rsidR="00304248" w:rsidRPr="006C71EA">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A65F15" w14:textId="77777777" w:rsidR="00737C5E" w:rsidRDefault="00737C5E" w:rsidP="00D634FC">
      <w:pPr>
        <w:spacing w:after="0" w:line="240" w:lineRule="auto"/>
      </w:pPr>
      <w:r>
        <w:separator/>
      </w:r>
    </w:p>
  </w:endnote>
  <w:endnote w:type="continuationSeparator" w:id="0">
    <w:p w14:paraId="35EFC931" w14:textId="77777777" w:rsidR="00737C5E" w:rsidRDefault="00737C5E" w:rsidP="00D634F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DAF3B5" w14:textId="77777777" w:rsidR="00737C5E" w:rsidRDefault="00737C5E" w:rsidP="00D634FC">
      <w:pPr>
        <w:spacing w:after="0" w:line="240" w:lineRule="auto"/>
      </w:pPr>
      <w:r>
        <w:separator/>
      </w:r>
    </w:p>
  </w:footnote>
  <w:footnote w:type="continuationSeparator" w:id="0">
    <w:p w14:paraId="0F471B56" w14:textId="77777777" w:rsidR="00737C5E" w:rsidRDefault="00737C5E" w:rsidP="00D634FC">
      <w:pPr>
        <w:spacing w:after="0" w:line="240" w:lineRule="auto"/>
      </w:pPr>
      <w:r>
        <w:continuationSeparator/>
      </w:r>
    </w:p>
  </w:footnote>
  <w:footnote w:id="1">
    <w:p w14:paraId="4CB38C53" w14:textId="77777777" w:rsidR="00D634FC" w:rsidRDefault="00D634FC" w:rsidP="00D634FC">
      <w:pPr>
        <w:pBdr>
          <w:top w:val="nil"/>
          <w:left w:val="nil"/>
          <w:bottom w:val="nil"/>
          <w:right w:val="nil"/>
          <w:between w:val="nil"/>
        </w:pBdr>
        <w:spacing w:after="0" w:line="240" w:lineRule="auto"/>
        <w:rPr>
          <w:color w:val="000000"/>
          <w:sz w:val="20"/>
          <w:szCs w:val="20"/>
        </w:rPr>
      </w:pPr>
      <w:r>
        <w:rPr>
          <w:rStyle w:val="FootnoteReference"/>
        </w:rPr>
        <w:footnoteRef/>
      </w:r>
      <w:r>
        <w:rPr>
          <w:color w:val="000000"/>
          <w:sz w:val="20"/>
          <w:szCs w:val="20"/>
        </w:rPr>
        <w:t xml:space="preserve"> Source: World Bank: compliance mechanisms, includes ETSs and carbon taxes.</w:t>
      </w:r>
    </w:p>
  </w:footnote>
  <w:footnote w:id="2">
    <w:p w14:paraId="1F1B35E1" w14:textId="77777777" w:rsidR="00D634FC" w:rsidRDefault="00D634FC" w:rsidP="00D634FC">
      <w:pPr>
        <w:pBdr>
          <w:top w:val="nil"/>
          <w:left w:val="nil"/>
          <w:bottom w:val="nil"/>
          <w:right w:val="nil"/>
          <w:between w:val="nil"/>
        </w:pBdr>
        <w:spacing w:after="0" w:line="240" w:lineRule="auto"/>
        <w:rPr>
          <w:color w:val="000000"/>
          <w:sz w:val="20"/>
          <w:szCs w:val="20"/>
        </w:rPr>
      </w:pPr>
      <w:r>
        <w:rPr>
          <w:rStyle w:val="FootnoteReference"/>
        </w:rPr>
        <w:footnoteRef/>
      </w:r>
      <w:r>
        <w:rPr>
          <w:color w:val="000000"/>
          <w:sz w:val="20"/>
          <w:szCs w:val="20"/>
        </w:rPr>
        <w:t xml:space="preserve"> This raises the very important point of ‘additionality’ which we explain below. </w:t>
      </w:r>
    </w:p>
  </w:footnote>
  <w:footnote w:id="3">
    <w:p w14:paraId="71EEB787" w14:textId="77777777" w:rsidR="00D634FC" w:rsidRDefault="00D634FC" w:rsidP="00D634FC">
      <w:pPr>
        <w:pBdr>
          <w:top w:val="nil"/>
          <w:left w:val="nil"/>
          <w:bottom w:val="nil"/>
          <w:right w:val="nil"/>
          <w:between w:val="nil"/>
        </w:pBdr>
        <w:spacing w:after="0" w:line="240" w:lineRule="auto"/>
        <w:rPr>
          <w:color w:val="000000"/>
          <w:sz w:val="20"/>
          <w:szCs w:val="20"/>
        </w:rPr>
      </w:pPr>
      <w:r>
        <w:rPr>
          <w:rStyle w:val="FootnoteReference"/>
        </w:rPr>
        <w:footnoteRef/>
      </w:r>
      <w:r>
        <w:rPr>
          <w:color w:val="000000"/>
          <w:sz w:val="20"/>
          <w:szCs w:val="20"/>
        </w:rPr>
        <w:t xml:space="preserve"> AP News: An Amsterdam court has ruled KLM’s sustainable aviation advertising misled consumers</w:t>
      </w:r>
    </w:p>
  </w:footnote>
  <w:footnote w:id="4">
    <w:p w14:paraId="6E03981F" w14:textId="77777777" w:rsidR="00D634FC" w:rsidRDefault="00D634FC" w:rsidP="00D634FC">
      <w:pPr>
        <w:pBdr>
          <w:top w:val="nil"/>
          <w:left w:val="nil"/>
          <w:bottom w:val="nil"/>
          <w:right w:val="nil"/>
          <w:between w:val="nil"/>
        </w:pBdr>
        <w:spacing w:after="0" w:line="240" w:lineRule="auto"/>
        <w:rPr>
          <w:color w:val="000000"/>
          <w:sz w:val="20"/>
          <w:szCs w:val="20"/>
        </w:rPr>
      </w:pPr>
      <w:r>
        <w:rPr>
          <w:rStyle w:val="FootnoteReference"/>
        </w:rPr>
        <w:footnoteRef/>
      </w:r>
      <w:r>
        <w:rPr>
          <w:color w:val="000000"/>
          <w:sz w:val="20"/>
          <w:szCs w:val="20"/>
        </w:rPr>
        <w:t xml:space="preserve"> Kleinman Center for Energy Policy</w:t>
      </w:r>
    </w:p>
  </w:footnote>
  <w:footnote w:id="5">
    <w:p w14:paraId="1AEFD4A0" w14:textId="77777777" w:rsidR="00D634FC" w:rsidRDefault="00D634FC" w:rsidP="00D634FC">
      <w:pPr>
        <w:rPr>
          <w:sz w:val="20"/>
          <w:szCs w:val="20"/>
        </w:rPr>
      </w:pPr>
      <w:r>
        <w:rPr>
          <w:rStyle w:val="FootnoteReference"/>
        </w:rPr>
        <w:footnoteRef/>
      </w:r>
      <w:r>
        <w:rPr>
          <w:sz w:val="20"/>
          <w:szCs w:val="20"/>
        </w:rPr>
        <w:t xml:space="preserve"> Carbon Brief</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AC948AF"/>
    <w:multiLevelType w:val="multilevel"/>
    <w:tmpl w:val="4A7E516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548803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34FC"/>
    <w:rsid w:val="00105647"/>
    <w:rsid w:val="00224886"/>
    <w:rsid w:val="002F6117"/>
    <w:rsid w:val="00304248"/>
    <w:rsid w:val="00361267"/>
    <w:rsid w:val="00402B13"/>
    <w:rsid w:val="00493D3B"/>
    <w:rsid w:val="0056165C"/>
    <w:rsid w:val="006C71EA"/>
    <w:rsid w:val="006F41C6"/>
    <w:rsid w:val="00737C5E"/>
    <w:rsid w:val="0075079F"/>
    <w:rsid w:val="00A6201C"/>
    <w:rsid w:val="00B54AA5"/>
    <w:rsid w:val="00CA41D8"/>
    <w:rsid w:val="00D634FC"/>
    <w:rsid w:val="00D93B54"/>
    <w:rsid w:val="00F125B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D1F05D"/>
  <w15:chartTrackingRefBased/>
  <w15:docId w15:val="{29057377-2875-8F44-8506-E9459EF6A6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634FC"/>
    <w:pPr>
      <w:spacing w:after="160" w:line="278" w:lineRule="auto"/>
    </w:pPr>
    <w:rPr>
      <w:rFonts w:ascii="Calibri" w:eastAsia="Calibri" w:hAnsi="Calibri" w:cs="Calibri"/>
      <w:kern w:val="0"/>
      <w:lang w:val="en-AU" w:eastAsia="en-GB"/>
      <w14:ligatures w14:val="none"/>
    </w:rPr>
  </w:style>
  <w:style w:type="paragraph" w:styleId="Heading1">
    <w:name w:val="heading 1"/>
    <w:basedOn w:val="Normal"/>
    <w:next w:val="Normal"/>
    <w:link w:val="Heading1Char"/>
    <w:uiPriority w:val="9"/>
    <w:qFormat/>
    <w:rsid w:val="00D634F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634F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634F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634F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634F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634F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34F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34F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34F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34F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634F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634F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634F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634F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634F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634F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634F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634FC"/>
    <w:rPr>
      <w:rFonts w:eastAsiaTheme="majorEastAsia" w:cstheme="majorBidi"/>
      <w:color w:val="272727" w:themeColor="text1" w:themeTint="D8"/>
    </w:rPr>
  </w:style>
  <w:style w:type="paragraph" w:styleId="Title">
    <w:name w:val="Title"/>
    <w:basedOn w:val="Normal"/>
    <w:next w:val="Normal"/>
    <w:link w:val="TitleChar"/>
    <w:uiPriority w:val="10"/>
    <w:qFormat/>
    <w:rsid w:val="00D634F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34F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634F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34F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634FC"/>
    <w:pPr>
      <w:spacing w:before="160"/>
      <w:jc w:val="center"/>
    </w:pPr>
    <w:rPr>
      <w:i/>
      <w:iCs/>
      <w:color w:val="404040" w:themeColor="text1" w:themeTint="BF"/>
    </w:rPr>
  </w:style>
  <w:style w:type="character" w:customStyle="1" w:styleId="QuoteChar">
    <w:name w:val="Quote Char"/>
    <w:basedOn w:val="DefaultParagraphFont"/>
    <w:link w:val="Quote"/>
    <w:uiPriority w:val="29"/>
    <w:rsid w:val="00D634FC"/>
    <w:rPr>
      <w:i/>
      <w:iCs/>
      <w:color w:val="404040" w:themeColor="text1" w:themeTint="BF"/>
    </w:rPr>
  </w:style>
  <w:style w:type="paragraph" w:styleId="ListParagraph">
    <w:name w:val="List Paragraph"/>
    <w:basedOn w:val="Normal"/>
    <w:uiPriority w:val="34"/>
    <w:qFormat/>
    <w:rsid w:val="00D634FC"/>
    <w:pPr>
      <w:ind w:left="720"/>
      <w:contextualSpacing/>
    </w:pPr>
  </w:style>
  <w:style w:type="character" w:styleId="IntenseEmphasis">
    <w:name w:val="Intense Emphasis"/>
    <w:basedOn w:val="DefaultParagraphFont"/>
    <w:uiPriority w:val="21"/>
    <w:qFormat/>
    <w:rsid w:val="00D634FC"/>
    <w:rPr>
      <w:i/>
      <w:iCs/>
      <w:color w:val="0F4761" w:themeColor="accent1" w:themeShade="BF"/>
    </w:rPr>
  </w:style>
  <w:style w:type="paragraph" w:styleId="IntenseQuote">
    <w:name w:val="Intense Quote"/>
    <w:basedOn w:val="Normal"/>
    <w:next w:val="Normal"/>
    <w:link w:val="IntenseQuoteChar"/>
    <w:uiPriority w:val="30"/>
    <w:qFormat/>
    <w:rsid w:val="00D634F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634FC"/>
    <w:rPr>
      <w:i/>
      <w:iCs/>
      <w:color w:val="0F4761" w:themeColor="accent1" w:themeShade="BF"/>
    </w:rPr>
  </w:style>
  <w:style w:type="character" w:styleId="IntenseReference">
    <w:name w:val="Intense Reference"/>
    <w:basedOn w:val="DefaultParagraphFont"/>
    <w:uiPriority w:val="32"/>
    <w:qFormat/>
    <w:rsid w:val="00D634FC"/>
    <w:rPr>
      <w:b/>
      <w:bCs/>
      <w:smallCaps/>
      <w:color w:val="0F4761" w:themeColor="accent1" w:themeShade="BF"/>
      <w:spacing w:val="5"/>
    </w:rPr>
  </w:style>
  <w:style w:type="character" w:styleId="FootnoteReference">
    <w:name w:val="footnote reference"/>
    <w:basedOn w:val="DefaultParagraphFont"/>
    <w:uiPriority w:val="99"/>
    <w:semiHidden/>
    <w:unhideWhenUsed/>
    <w:rsid w:val="00D634FC"/>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1033</Words>
  <Characters>5686</Characters>
  <Application>Microsoft Office Word</Application>
  <DocSecurity>0</DocSecurity>
  <Lines>47</Lines>
  <Paragraphs>13</Paragraphs>
  <ScaleCrop>false</ScaleCrop>
  <Company/>
  <LinksUpToDate>false</LinksUpToDate>
  <CharactersWithSpaces>6706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Charles Nicholson</dc:creator>
  <cp:keywords/>
  <dc:description/>
  <cp:lastModifiedBy>Juan Acuna</cp:lastModifiedBy>
  <cp:revision>4</cp:revision>
  <dcterms:created xsi:type="dcterms:W3CDTF">2025-12-02T09:24:00Z</dcterms:created>
  <dcterms:modified xsi:type="dcterms:W3CDTF">2025-12-31T12:13:00Z</dcterms:modified>
</cp:coreProperties>
</file>