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ED99F" w14:textId="273046C3" w:rsidR="003256CF" w:rsidRDefault="003256CF">
      <w:pPr>
        <w:spacing w:before="240" w:after="240"/>
        <w:ind w:right="600"/>
        <w:jc w:val="both"/>
      </w:pPr>
      <w:r>
        <w:t>In this article, we explore how can Input-Output analysis can help us calculate emissions by Scope, how dirty the supply chains that power the Spanish economy are, and whether certain sectors do more harm than good when accounting for their climate damages.</w:t>
      </w:r>
    </w:p>
    <w:p w14:paraId="7B480235" w14:textId="658233EC" w:rsidR="00DD32D6" w:rsidRDefault="00000000">
      <w:pPr>
        <w:spacing w:before="240" w:after="240"/>
        <w:ind w:right="600"/>
        <w:jc w:val="both"/>
      </w:pPr>
      <w:r>
        <w:t>To measure our success in fighting climate change, we must look at one primary figure: the concentration of GHG emissions in the atmosphere. It turns out that the extent to which production contributes every year to such concentration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1489A46B" w14:textId="77777777" w:rsidR="00DD32D6" w:rsidRDefault="00000000">
      <w:pPr>
        <w:spacing w:before="240" w:after="240"/>
        <w:ind w:right="600"/>
        <w:jc w:val="both"/>
      </w:pPr>
      <w:r>
        <w:t xml:space="preserve">This is why the economic implications of climate policy differ greatly across sectors – it is supposed to punish carbon-intensive sectors more severely. </w:t>
      </w:r>
      <w:proofErr w:type="gramStart"/>
      <w:r>
        <w:t>But,</w:t>
      </w:r>
      <w:proofErr w:type="gramEnd"/>
      <w:r>
        <w:t xml:space="preserve">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needed suppliers emit. In fact, corporate reporting standards aspire to require disclosure across three categories to cover this: Scope 1 (direct emissions), Scope 2 (indirect emissions from purchased electricity), and Scope 3 (all other emissions within the value chain, both upstream and downstream). </w:t>
      </w:r>
    </w:p>
    <w:p w14:paraId="7F755C55" w14:textId="77777777" w:rsidR="00DD32D6" w:rsidRDefault="00000000">
      <w:pPr>
        <w:spacing w:before="240" w:after="240"/>
        <w:ind w:right="600"/>
        <w:jc w:val="center"/>
      </w:pPr>
      <w:r>
        <w:rPr>
          <w:noProof/>
        </w:rPr>
        <w:drawing>
          <wp:inline distT="114300" distB="114300" distL="114300" distR="114300" wp14:anchorId="5689185F" wp14:editId="6478DD7C">
            <wp:extent cx="3433763" cy="2195627"/>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54642350" w14:textId="77777777" w:rsidR="00DD32D6" w:rsidRDefault="00000000">
      <w:pPr>
        <w:spacing w:before="240" w:after="240"/>
        <w:ind w:right="600"/>
        <w:jc w:val="center"/>
        <w:rPr>
          <w:color w:val="666666"/>
          <w:sz w:val="18"/>
          <w:szCs w:val="18"/>
        </w:rPr>
      </w:pPr>
      <w:r>
        <w:rPr>
          <w:color w:val="666666"/>
          <w:sz w:val="18"/>
          <w:szCs w:val="18"/>
        </w:rPr>
        <w:t xml:space="preserve">Source: U.S Environmental Protection Agency (EPA). Emissions by Scope inventory guidance. </w:t>
      </w:r>
    </w:p>
    <w:p w14:paraId="20AB8643" w14:textId="77777777" w:rsidR="00DD32D6" w:rsidRDefault="00000000">
      <w:pPr>
        <w:pStyle w:val="Heading2"/>
        <w:spacing w:before="240" w:after="240"/>
        <w:ind w:right="600"/>
        <w:jc w:val="both"/>
      </w:pPr>
      <w:bookmarkStart w:id="0" w:name="_vo5sc5dgkn2f" w:colFirst="0" w:colLast="0"/>
      <w:bookmarkEnd w:id="0"/>
      <w:r>
        <w:t>The Data</w:t>
      </w:r>
    </w:p>
    <w:p w14:paraId="6F4A75C7" w14:textId="77777777" w:rsidR="00DD32D6" w:rsidRDefault="00000000">
      <w:pPr>
        <w:spacing w:before="240" w:after="240"/>
        <w:ind w:right="600"/>
        <w:jc w:val="both"/>
      </w:pPr>
      <w:r>
        <w:t xml:space="preserve">A useful tool to analyze direct and indirect emissions across sectors are Input-Output tables. Understanding these at a global level gets unnecessarily complicated, so let's focus on the Spanish economy. </w:t>
      </w:r>
    </w:p>
    <w:p w14:paraId="16955166" w14:textId="77777777" w:rsidR="00DD32D6" w:rsidRDefault="00000000">
      <w:pPr>
        <w:jc w:val="both"/>
      </w:pPr>
      <w:r>
        <w:lastRenderedPageBreak/>
        <w:t>Input-Output tables contain the output produced by each sector, as well as the inputs that each sector buys from other sectors.</w:t>
      </w:r>
      <w:r>
        <w:rPr>
          <w:vertAlign w:val="superscript"/>
        </w:rPr>
        <w:footnoteReference w:id="1"/>
      </w:r>
      <w:r>
        <w:t xml:space="preserve"> Therefore, the table of interest looks as follows:</w:t>
      </w:r>
    </w:p>
    <w:p w14:paraId="79608480" w14:textId="77777777" w:rsidR="00DD32D6" w:rsidRDefault="00000000">
      <w:pPr>
        <w:jc w:val="center"/>
      </w:pPr>
      <w:r>
        <w:rPr>
          <w:noProof/>
        </w:rPr>
        <w:drawing>
          <wp:inline distT="114300" distB="114300" distL="114300" distR="114300" wp14:anchorId="0BD5CA3F" wp14:editId="23BC9174">
            <wp:extent cx="2952240" cy="1854612"/>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06C82986" w14:textId="77777777" w:rsidR="00DD32D6" w:rsidRDefault="00000000">
      <w:pPr>
        <w:jc w:val="center"/>
        <w:rPr>
          <w:color w:val="444746"/>
          <w:sz w:val="18"/>
          <w:szCs w:val="18"/>
        </w:rPr>
      </w:pPr>
      <w:r>
        <w:rPr>
          <w:color w:val="444746"/>
          <w:sz w:val="18"/>
          <w:szCs w:val="18"/>
        </w:rPr>
        <w:t>Source: Input-Output table. Own elaboration</w:t>
      </w:r>
    </w:p>
    <w:p w14:paraId="47EDB94B" w14:textId="77777777" w:rsidR="00DD32D6" w:rsidRDefault="00DD32D6">
      <w:pPr>
        <w:jc w:val="both"/>
      </w:pPr>
    </w:p>
    <w:p w14:paraId="05EA5442" w14:textId="77777777" w:rsidR="00DD32D6" w:rsidRDefault="00000000">
      <w:pPr>
        <w:jc w:val="both"/>
      </w:pPr>
      <w:r>
        <w:t xml:space="preserve">The rows correspond to the producing sectors, and columns to the consuming sectors. Therefore, for example,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09AF0B92" w14:textId="77777777" w:rsidR="00DD32D6" w:rsidRDefault="00DD32D6">
      <w:pPr>
        <w:jc w:val="both"/>
      </w:pPr>
    </w:p>
    <w:p w14:paraId="1B5B9E3B" w14:textId="77777777" w:rsidR="00DD32D6" w:rsidRDefault="00DD32D6">
      <w:pPr>
        <w:jc w:val="both"/>
      </w:pPr>
      <w:hyperlink r:id="rId9">
        <w:r>
          <w:rPr>
            <w:color w:val="1155CC"/>
            <w:u w:val="single"/>
          </w:rPr>
          <w:t>EXIOBASE</w:t>
        </w:r>
      </w:hyperlink>
      <w:r>
        <w:t xml:space="preserve"> provides this table for 44 economies across 163 sectors.</w:t>
      </w:r>
      <w:r>
        <w:rPr>
          <w:vertAlign w:val="superscript"/>
        </w:rPr>
        <w:footnoteReference w:id="2"/>
      </w:r>
      <w:r>
        <w:t xml:space="preserve"> Moreover, EXIOBASE also provides the Scope 1 GHG emissions for each of these country-sectors, so half of our work is already done (Scope 1 emissions). For the other half (Scope 2 and 3 emissions), we will need to borrow a Nobel Prize winning idea…</w:t>
      </w:r>
    </w:p>
    <w:p w14:paraId="24D20E22" w14:textId="77777777" w:rsidR="00DD32D6" w:rsidRDefault="00000000">
      <w:pPr>
        <w:pStyle w:val="Heading2"/>
        <w:jc w:val="both"/>
      </w:pPr>
      <w:bookmarkStart w:id="1" w:name="_wm8x1ke3hq56" w:colFirst="0" w:colLast="0"/>
      <w:bookmarkEnd w:id="1"/>
      <w:r>
        <w:t>The Classical Leontief Model</w:t>
      </w:r>
    </w:p>
    <w:p w14:paraId="2974F9E2" w14:textId="77777777" w:rsidR="00DD32D6" w:rsidRDefault="00DD32D6">
      <w:pPr>
        <w:jc w:val="both"/>
      </w:pPr>
    </w:p>
    <w:p w14:paraId="07A30A2D" w14:textId="77777777" w:rsidR="00DD32D6"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such as fuel and infrastructure to operate. And fuel and infrastructure suppliers also need their own inputs to supply to electricity producers. Therefore, final demand for agricultural output triggers a whole chain of production across supplying sectors.</w:t>
      </w:r>
    </w:p>
    <w:p w14:paraId="14CA273C" w14:textId="77777777" w:rsidR="00DD32D6" w:rsidRDefault="00000000">
      <w:pPr>
        <w:spacing w:after="240"/>
        <w:jc w:val="both"/>
      </w:pPr>
      <w:r>
        <w:t xml:space="preserve">This is where the </w:t>
      </w:r>
      <w:hyperlink r:id="rId10">
        <w:r w:rsidR="00DD32D6">
          <w:rPr>
            <w:color w:val="1155CC"/>
            <w:u w:val="single"/>
          </w:rPr>
          <w:t xml:space="preserve">Nobel prize-winning </w:t>
        </w:r>
      </w:hyperlink>
      <w:hyperlink r:id="rId11">
        <w:r w:rsidR="00DD32D6">
          <w:rPr>
            <w:b/>
            <w:bCs/>
            <w:color w:val="1155CC"/>
            <w:u w:val="single"/>
          </w:rPr>
          <w:t>Leontief</w:t>
        </w:r>
      </w:hyperlink>
      <w:r>
        <w:rPr>
          <w:b/>
          <w:bCs/>
        </w:rPr>
        <w:t xml:space="preserve"> Inverse</w:t>
      </w:r>
      <w:r>
        <w:t xml:space="preserve"> model comes in. Check the appendix if you are brave enough to go into algebra. It accounts not only for the direct input requirements of a sector, but also for such a chain of production across supplying sectors. As a result, you end up </w:t>
      </w:r>
      <w:r>
        <w:lastRenderedPageBreak/>
        <w:t>with a matrix structured in the same way as the Input-Output table, but that shall be interpreted differently.</w:t>
      </w:r>
    </w:p>
    <w:p w14:paraId="2A4FD5D5" w14:textId="77777777" w:rsidR="00DD32D6" w:rsidRDefault="00000000">
      <w:pPr>
        <w:spacing w:after="240"/>
        <w:jc w:val="center"/>
      </w:pPr>
      <w:r>
        <w:rPr>
          <w:noProof/>
        </w:rPr>
        <w:drawing>
          <wp:inline distT="114300" distB="114300" distL="114300" distR="114300" wp14:anchorId="1424DC52" wp14:editId="6524ECB6">
            <wp:extent cx="2914650" cy="1830998"/>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2914650" cy="1830998"/>
                    </a:xfrm>
                    <a:prstGeom prst="rect">
                      <a:avLst/>
                    </a:prstGeom>
                    <a:ln/>
                  </pic:spPr>
                </pic:pic>
              </a:graphicData>
            </a:graphic>
          </wp:inline>
        </w:drawing>
      </w:r>
    </w:p>
    <w:p w14:paraId="53CB0639" w14:textId="77777777" w:rsidR="00DD32D6" w:rsidRDefault="00000000">
      <w:pPr>
        <w:spacing w:after="240"/>
        <w:jc w:val="center"/>
        <w:rPr>
          <w:color w:val="444746"/>
          <w:sz w:val="18"/>
          <w:szCs w:val="18"/>
        </w:rPr>
      </w:pPr>
      <w:r>
        <w:rPr>
          <w:color w:val="444746"/>
          <w:sz w:val="18"/>
          <w:szCs w:val="18"/>
        </w:rPr>
        <w:t xml:space="preserve">Source: Leontief Inverse matrix. Own elaboration. </w:t>
      </w:r>
    </w:p>
    <w:p w14:paraId="2EBA9B3D" w14:textId="77777777" w:rsidR="00DD32D6"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14:paraId="47E24787" w14:textId="77777777" w:rsidR="00DD32D6" w:rsidRDefault="00000000">
      <w:pPr>
        <w:pStyle w:val="Heading2"/>
        <w:spacing w:after="240"/>
        <w:jc w:val="both"/>
      </w:pPr>
      <w:bookmarkStart w:id="2" w:name="_wb4gxuldboib" w:colFirst="0" w:colLast="0"/>
      <w:bookmarkEnd w:id="2"/>
      <w:r>
        <w:t>The Leontief Environmental Extension</w:t>
      </w:r>
    </w:p>
    <w:p w14:paraId="4EDEF41D" w14:textId="77777777" w:rsidR="00DD32D6" w:rsidRDefault="00000000">
      <w:pPr>
        <w:spacing w:after="240"/>
        <w:jc w:val="both"/>
      </w:pPr>
      <w:r>
        <w:t>As mentioned previously, EXIOBASE does not only provide Input-Output tables on monetary terms, but also what are called satellite accounts. These are tables which follow the same sectoral classification as the Input-Output table, and contain information about the sector’s associated water use, nutrient use, raw material use, and most importantly for this exercise, emissions.</w:t>
      </w:r>
      <w:r>
        <w:rPr>
          <w:b/>
          <w:bCs/>
        </w:rPr>
        <w:t xml:space="preserve"> </w:t>
      </w:r>
      <w:proofErr w:type="gramStart"/>
      <w:r>
        <w:t>Therefore</w:t>
      </w:r>
      <w:proofErr w:type="gramEnd"/>
      <w:r>
        <w:t xml:space="preserve"> allowing us to extend analysis to variables that matter for welfare and sustainability.</w:t>
      </w:r>
    </w:p>
    <w:p w14:paraId="5A47CFDB" w14:textId="77777777" w:rsidR="00DD32D6" w:rsidRDefault="00000000">
      <w:pPr>
        <w:spacing w:after="240"/>
        <w:jc w:val="both"/>
      </w:pPr>
      <w:r>
        <w:t xml:space="preserve">To turn the Leontief matrix into an emissions map, each cell ought to be multiplied by its corresponding producing sector’s </w:t>
      </w:r>
      <w:r>
        <w:rPr>
          <w:b/>
          <w:bCs/>
        </w:rPr>
        <w:t>emission intensity</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0FFDDDCD" w14:textId="77777777" w:rsidR="00DD32D6" w:rsidRDefault="00000000">
      <w:pPr>
        <w:jc w:val="center"/>
      </w:pPr>
      <w:r>
        <w:rPr>
          <w:noProof/>
        </w:rPr>
        <w:lastRenderedPageBreak/>
        <w:drawing>
          <wp:inline distT="114300" distB="114300" distL="114300" distR="114300" wp14:anchorId="5499E16D" wp14:editId="2E69EE3D">
            <wp:extent cx="3668713" cy="230438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668713" cy="2304384"/>
                    </a:xfrm>
                    <a:prstGeom prst="rect">
                      <a:avLst/>
                    </a:prstGeom>
                    <a:ln/>
                  </pic:spPr>
                </pic:pic>
              </a:graphicData>
            </a:graphic>
          </wp:inline>
        </w:drawing>
      </w:r>
    </w:p>
    <w:p w14:paraId="1932C1C4" w14:textId="77777777" w:rsidR="00DD32D6" w:rsidRDefault="00000000">
      <w:pPr>
        <w:jc w:val="center"/>
        <w:rPr>
          <w:color w:val="444746"/>
          <w:sz w:val="18"/>
          <w:szCs w:val="18"/>
        </w:rPr>
      </w:pPr>
      <w:r>
        <w:rPr>
          <w:color w:val="444746"/>
          <w:sz w:val="18"/>
          <w:szCs w:val="18"/>
        </w:rPr>
        <w:t>Source: Environmentally scaled Leontief Inverse matrix. Own elaboration.</w:t>
      </w:r>
    </w:p>
    <w:p w14:paraId="4B4029D6" w14:textId="77777777" w:rsidR="00DD32D6" w:rsidRDefault="00DD32D6">
      <w:pPr>
        <w:spacing w:after="240"/>
        <w:jc w:val="both"/>
      </w:pPr>
    </w:p>
    <w:p w14:paraId="7791C1F8" w14:textId="77777777" w:rsidR="00DD32D6" w:rsidRDefault="00000000">
      <w:pPr>
        <w:spacing w:after="240"/>
        <w:jc w:val="both"/>
      </w:pPr>
      <w:r>
        <w:t xml:space="preserve">It must be noted that there are two main limitations that come with this approach. First, the Leontief model only recovers the upstream production requirements, but it does not </w:t>
      </w:r>
      <w:proofErr w:type="gramStart"/>
      <w:r>
        <w:t>take into account</w:t>
      </w:r>
      <w:proofErr w:type="gramEnd"/>
      <w:r>
        <w:t xml:space="preserve">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2DCB2F05" w14:textId="77777777" w:rsidR="00DD32D6" w:rsidRDefault="00000000">
      <w:pPr>
        <w:spacing w:after="240"/>
        <w:jc w:val="both"/>
      </w:pPr>
      <w:r>
        <w:t xml:space="preserve">Second, production technology is assumed to be fixed in this model, meaning the input expenditure shares and emission intensity of a given sector cannot change. </w:t>
      </w:r>
      <w:proofErr w:type="gramStart"/>
      <w:r>
        <w:t>In reality, sectors</w:t>
      </w:r>
      <w:proofErr w:type="gramEnd"/>
      <w:r>
        <w:t xml:space="preserve">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66D7AA41" w14:textId="77777777" w:rsidR="00DD32D6" w:rsidRDefault="00000000">
      <w:pPr>
        <w:pStyle w:val="Heading2"/>
        <w:spacing w:before="240" w:after="240"/>
        <w:jc w:val="both"/>
      </w:pPr>
      <w:bookmarkStart w:id="3" w:name="_tp8mnzcbmi8c" w:colFirst="0" w:colLast="0"/>
      <w:bookmarkEnd w:id="3"/>
      <w:r>
        <w:t>What Can This Environmentally Extended Leontief Model Tell Us About the Spanish Economy?</w:t>
      </w:r>
    </w:p>
    <w:p w14:paraId="7AAB7ED7" w14:textId="77777777" w:rsidR="00DD32D6" w:rsidRDefault="00000000">
      <w:pPr>
        <w:spacing w:before="240" w:after="240"/>
        <w:jc w:val="both"/>
      </w:pPr>
      <w:r>
        <w:t>First, we show employment and Gross Value Added, which is calculated as the value of what a sector produces minus the cost of the inputs it uses to produce, to give a sense of each sector’s economic importance. The results show that the Spanish economy concentrates most of its Gross Value-Added in services related to tourism, wholesale and retail trade, alongside public services such as health care and education.</w:t>
      </w:r>
    </w:p>
    <w:p w14:paraId="202DE848" w14:textId="77777777" w:rsidR="00DD32D6" w:rsidRDefault="00000000">
      <w:pPr>
        <w:spacing w:before="240" w:after="240"/>
        <w:jc w:val="both"/>
      </w:pPr>
      <w:r>
        <w:t>Second, we present total emissions by scope, as well as emission intensity by scope for each sector. The former measure somewhat changes the ranking of sectors implied by Gross Value-</w:t>
      </w:r>
      <w:r>
        <w:lastRenderedPageBreak/>
        <w:t>Added: sectors such as petroleum refining, electricity generation from gas, and cattle farming now move to the top.</w:t>
      </w:r>
    </w:p>
    <w:p w14:paraId="1C34D478" w14:textId="77777777" w:rsidR="00DD32D6" w:rsidRDefault="00000000">
      <w:pPr>
        <w:spacing w:before="240" w:after="240"/>
        <w:jc w:val="both"/>
      </w:pPr>
      <w:r>
        <w:t>However, to make a fair comparison that allows us to trace vulnerability to climate policy stringency across sectors, emission intensity provides a clearer picture, as it avoids portraying large sectors that rely on relatively clean production processes as “dirty” simply because they produce more. The emission-intensity ranking gives a familiar picture of the traditional drivers of climate change: fossil-fuel electricity production and extraction, cattle farming, meat processing, and some manufacturing sectors dominate the list.</w:t>
      </w:r>
    </w:p>
    <w:p w14:paraId="31C7CFEB" w14:textId="77777777" w:rsidR="00DD32D6" w:rsidRDefault="00000000">
      <w:pPr>
        <w:spacing w:before="240" w:after="240"/>
        <w:jc w:val="both"/>
      </w:pPr>
      <w: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5980396B" w14:textId="77777777" w:rsidR="00DD32D6" w:rsidRDefault="00000000">
      <w:pPr>
        <w:spacing w:before="240" w:after="240"/>
        <w:jc w:val="both"/>
      </w:pPr>
      <w:r>
        <w:t>[es_dashboard_tabs.html]</w:t>
      </w:r>
    </w:p>
    <w:p w14:paraId="2727AFEA" w14:textId="77777777" w:rsidR="00DD32D6" w:rsidRDefault="00000000">
      <w:pPr>
        <w:spacing w:before="240" w:after="240"/>
        <w:jc w:val="both"/>
      </w:pPr>
      <w:r>
        <w:t>In fact, if you would like a more detailed, interactive view of supply-chain emission linkages by sector, decomposing emissions by supplying industry rather than by Scope, check this out!</w:t>
      </w:r>
    </w:p>
    <w:p w14:paraId="38946904" w14:textId="77777777" w:rsidR="00DD32D6" w:rsidRDefault="00000000">
      <w:pPr>
        <w:spacing w:before="240" w:after="240"/>
        <w:jc w:val="both"/>
      </w:pPr>
      <w:r>
        <w:t>[scope1_center_2d_with_year_slider.html]</w:t>
      </w:r>
    </w:p>
    <w:p w14:paraId="308DA375" w14:textId="77777777" w:rsidR="00DD32D6" w:rsidRDefault="00000000">
      <w:pPr>
        <w:spacing w:before="240" w:after="240"/>
        <w:jc w:val="both"/>
      </w:pPr>
      <w:r>
        <w:t xml:space="preserve">Lastly, we perform a back-of-the-envelope calculation to estimate the implied climate damage by sector. Specifically, we multiply each sector’s emissions by the Social Cost of Carbon (SCC), which represents the present value of the marginal global damage caused by emitting one additional ton of CO₂, </w:t>
      </w:r>
      <w:hyperlink r:id="rId14">
        <w:r w:rsidR="00DD32D6">
          <w:rPr>
            <w:color w:val="1155CC"/>
            <w:u w:val="single"/>
          </w:rPr>
          <w:t>as explained by Charles in his great article</w:t>
        </w:r>
      </w:hyperlink>
      <w:r>
        <w:t>. Our calculation of damages assumes that damages scale linearly with emissions at the margin: an admittedly strong assumption, given that climate damages are likely to be nonlinear in cumulative emissions and temperature.</w:t>
      </w:r>
    </w:p>
    <w:p w14:paraId="44C493A6" w14:textId="77777777" w:rsidR="00DD32D6" w:rsidRDefault="00000000">
      <w:pPr>
        <w:jc w:val="both"/>
      </w:pPr>
      <w:r>
        <w:t xml:space="preserve">If we use the Social Cost of Carbon set by the Biden Administration and convert it to euros (€160/ton, </w:t>
      </w:r>
      <w:proofErr w:type="spellStart"/>
      <w:r>
        <w:t>ie</w:t>
      </w:r>
      <w:proofErr w:type="spellEnd"/>
      <w:r>
        <w:t xml:space="preserve">, 0.160 EUR per kg), some sectors </w:t>
      </w:r>
      <w:proofErr w:type="gramStart"/>
      <w:r>
        <w:t>actually produce</w:t>
      </w:r>
      <w:proofErr w:type="gramEnd"/>
      <w:r>
        <w:t xml:space="preserve"> more damages in monetary terms than their own value added: coal-fired electricity generation, processing of dairy and meat products, or mining. </w:t>
      </w:r>
    </w:p>
    <w:p w14:paraId="44612078" w14:textId="77777777" w:rsidR="00DD32D6" w:rsidRDefault="00DD32D6">
      <w:pPr>
        <w:jc w:val="both"/>
      </w:pPr>
    </w:p>
    <w:p w14:paraId="5D277B47" w14:textId="77777777" w:rsidR="00DD32D6" w:rsidRDefault="00000000">
      <w:pPr>
        <w:jc w:val="both"/>
      </w:pPr>
      <w:r>
        <w:t xml:space="preserve">This result reminds us that, even in a relatively advanced economy when it comes to decarbonization and development, some sectors are way behind and severely exposed to transition risks such as stringent climate policy. And most importantly, even under conservative assumptions of climate damages, some sectors </w:t>
      </w:r>
      <w:proofErr w:type="gramStart"/>
      <w:r>
        <w:t>actually do</w:t>
      </w:r>
      <w:proofErr w:type="gramEnd"/>
      <w:r>
        <w:t xml:space="preserve"> more harm than good in terms of societal welfare!</w:t>
      </w:r>
    </w:p>
    <w:p w14:paraId="4EB12AE8" w14:textId="77777777" w:rsidR="00DD32D6" w:rsidRDefault="00DD32D6">
      <w:pPr>
        <w:jc w:val="both"/>
      </w:pPr>
    </w:p>
    <w:p w14:paraId="7DC7F77F" w14:textId="77777777" w:rsidR="00DD32D6" w:rsidRDefault="00000000">
      <w:pPr>
        <w:jc w:val="both"/>
      </w:pPr>
      <w:r>
        <w:t>[ES_SCC_DAMAGE_INTERACTIVE_GVA_XCAP]</w:t>
      </w:r>
    </w:p>
    <w:p w14:paraId="7B6EAE95" w14:textId="77777777" w:rsidR="00DD32D6" w:rsidRDefault="00DD32D6">
      <w:pPr>
        <w:jc w:val="both"/>
      </w:pPr>
    </w:p>
    <w:p w14:paraId="602C7619" w14:textId="77777777" w:rsidR="00DD32D6" w:rsidRDefault="00000000" w:rsidP="00A4584A">
      <w:pPr>
        <w:pStyle w:val="Heading2"/>
      </w:pPr>
      <w:r>
        <w:lastRenderedPageBreak/>
        <w:t>Appendix</w:t>
      </w:r>
    </w:p>
    <w:p w14:paraId="24BB938C" w14:textId="77777777" w:rsidR="00DD32D6" w:rsidRDefault="00DD32D6">
      <w:pPr>
        <w:spacing w:after="80"/>
        <w:jc w:val="both"/>
      </w:pPr>
    </w:p>
    <w:p w14:paraId="4B181C01" w14:textId="77777777" w:rsidR="00DD32D6" w:rsidRDefault="00000000">
      <w:pPr>
        <w:spacing w:after="80"/>
        <w:jc w:val="both"/>
      </w:pPr>
      <w:r>
        <w:t xml:space="preserve">Here we present the underlying equations to understand how the Leontief inverse is calculated. The basic Input–Output Setup has </w:t>
      </w:r>
      <w:r>
        <w:rPr>
          <w:b/>
          <w:bCs/>
        </w:rPr>
        <w:t>n sectors</w:t>
      </w:r>
      <w:r>
        <w:t>. Where:</w:t>
      </w:r>
    </w:p>
    <w:p w14:paraId="76F72A67" w14:textId="77777777" w:rsidR="00DD32D6" w:rsidRDefault="00000000">
      <w:pPr>
        <w:numPr>
          <w:ilvl w:val="0"/>
          <w:numId w:val="4"/>
        </w:numPr>
        <w:spacing w:before="240"/>
      </w:pPr>
      <m:oMath>
        <m:sSub>
          <m:sSubPr>
            <m:ctrlPr>
              <w:rPr>
                <w:rFonts w:ascii="Cambria Math" w:hAnsi="Cambria Math"/>
              </w:rPr>
            </m:ctrlPr>
          </m:sSubPr>
          <m:e>
            <m:r>
              <w:rPr>
                <w:rFonts w:ascii="Cambria Math" w:hAnsi="Cambria Math"/>
              </w:rPr>
              <m:t>x</m:t>
            </m:r>
          </m:e>
          <m:sub>
            <m:r>
              <w:rPr>
                <w:rFonts w:ascii="Cambria Math" w:hAnsi="Cambria Math"/>
              </w:rPr>
              <m:t>n</m:t>
            </m:r>
          </m:sub>
        </m:sSub>
      </m:oMath>
      <w:r>
        <w:t>: vector of total output by sector</w:t>
      </w:r>
    </w:p>
    <w:p w14:paraId="03229BAC" w14:textId="77777777" w:rsidR="00DD32D6" w:rsidRDefault="00000000">
      <w:pPr>
        <w:numPr>
          <w:ilvl w:val="0"/>
          <w:numId w:val="4"/>
        </w:numPr>
      </w:pPr>
      <m:oMath>
        <m:sSub>
          <m:sSubPr>
            <m:ctrlPr>
              <w:rPr>
                <w:rFonts w:ascii="Cambria Math" w:hAnsi="Cambria Math"/>
              </w:rPr>
            </m:ctrlPr>
          </m:sSubPr>
          <m:e>
            <m:r>
              <w:rPr>
                <w:rFonts w:ascii="Cambria Math" w:hAnsi="Cambria Math"/>
              </w:rPr>
              <m:t>y</m:t>
            </m:r>
          </m:e>
          <m:sub>
            <m:r>
              <w:rPr>
                <w:rFonts w:ascii="Cambria Math" w:hAnsi="Cambria Math"/>
              </w:rPr>
              <m:t>n</m:t>
            </m:r>
          </m:sub>
        </m:sSub>
      </m:oMath>
      <w:r>
        <w:t>: vector of final demand</w:t>
      </w:r>
    </w:p>
    <w:p w14:paraId="61BAB853" w14:textId="77777777" w:rsidR="00DD32D6" w:rsidRDefault="00000000">
      <w:pPr>
        <w:numPr>
          <w:ilvl w:val="0"/>
          <w:numId w:val="4"/>
        </w:numPr>
        <w:spacing w:after="240"/>
      </w:pPr>
      <m:oMath>
        <m:sSub>
          <m:sSubPr>
            <m:ctrlPr>
              <w:rPr>
                <w:rFonts w:ascii="Cambria Math" w:hAnsi="Cambria Math"/>
              </w:rPr>
            </m:ctrlPr>
          </m:sSubPr>
          <m:e>
            <m:r>
              <w:rPr>
                <w:rFonts w:ascii="Cambria Math" w:hAnsi="Cambria Math"/>
              </w:rPr>
              <m:t>Z</m:t>
            </m:r>
          </m:e>
          <m:sub>
            <m:r>
              <w:rPr>
                <w:rFonts w:ascii="Cambria Math" w:hAnsi="Cambria Math"/>
              </w:rPr>
              <m:t>n×n</m:t>
            </m:r>
          </m:sub>
        </m:sSub>
      </m:oMath>
      <w:r>
        <w:t>: matrix of inter-industry flows</w:t>
      </w:r>
    </w:p>
    <w:p w14:paraId="533E33C0" w14:textId="77777777" w:rsidR="00DD32D6" w:rsidRDefault="00000000">
      <w:pPr>
        <w:spacing w:before="240" w:after="240"/>
        <w:jc w:val="both"/>
      </w:pPr>
      <w:r>
        <w:t xml:space="preserve">From the Input–Output table, define the </w:t>
      </w:r>
      <w:r>
        <w:rPr>
          <w:b/>
          <w:bCs/>
        </w:rPr>
        <w:t>technical coefficients matrix</w:t>
      </w:r>
      <w:r>
        <w:t xml:space="preserve"> (</w:t>
      </w:r>
      <m:oMath>
        <m:sSub>
          <m:sSubPr>
            <m:ctrlPr>
              <w:rPr>
                <w:rFonts w:ascii="Cambria Math" w:hAnsi="Cambria Math"/>
              </w:rPr>
            </m:ctrlPr>
          </m:sSubPr>
          <m:e>
            <m:r>
              <w:rPr>
                <w:rFonts w:ascii="Cambria Math" w:hAnsi="Cambria Math"/>
              </w:rPr>
              <m:t>A</m:t>
            </m:r>
          </m:e>
          <m:sub>
            <m:r>
              <w:rPr>
                <w:rFonts w:ascii="Cambria Math" w:hAnsi="Cambria Math"/>
              </w:rPr>
              <m:t xml:space="preserve">n×n </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ij</m:t>
                </m:r>
              </m:sub>
            </m:sSub>
          </m:num>
          <m:den>
            <m:sSub>
              <m:sSubPr>
                <m:ctrlPr>
                  <w:rPr>
                    <w:rFonts w:ascii="Cambria Math" w:hAnsi="Cambria Math"/>
                  </w:rPr>
                </m:ctrlPr>
              </m:sSubPr>
              <m:e>
                <m:r>
                  <w:rPr>
                    <w:rFonts w:ascii="Cambria Math" w:hAnsi="Cambria Math"/>
                  </w:rPr>
                  <m:t>x</m:t>
                </m:r>
              </m:e>
              <m:sub>
                <m:r>
                  <w:rPr>
                    <w:rFonts w:ascii="Cambria Math" w:hAnsi="Cambria Math"/>
                  </w:rPr>
                  <m:t>j</m:t>
                </m:r>
              </m:sub>
            </m:sSub>
          </m:den>
        </m:f>
      </m:oMath>
    </w:p>
    <w:p w14:paraId="1454374D" w14:textId="77777777" w:rsidR="00DD32D6" w:rsidRDefault="00000000">
      <w:pPr>
        <w:spacing w:before="240" w:after="240"/>
        <w:jc w:val="both"/>
      </w:pPr>
      <w:r>
        <w:t xml:space="preserve">This </w:t>
      </w:r>
      <w:proofErr w:type="gramStart"/>
      <w:r>
        <w:t>means:</w:t>
      </w:r>
      <w:proofErr w:type="gramEnd"/>
      <w:r>
        <w:t xml:space="preserve"> how much input from sector </w:t>
      </w:r>
      <w:proofErr w:type="spellStart"/>
      <w:r>
        <w:rPr>
          <w:i/>
          <w:iCs/>
        </w:rPr>
        <w:t>i</w:t>
      </w:r>
      <w:proofErr w:type="spellEnd"/>
      <w:r>
        <w:t xml:space="preserve"> is required to produce one unit of output in sector </w:t>
      </w:r>
      <w:r>
        <w:rPr>
          <w:i/>
          <w:iCs/>
        </w:rPr>
        <w:t>j</w:t>
      </w:r>
      <w:r>
        <w:t>. So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 tells us the </w:t>
      </w:r>
      <w:r>
        <w:rPr>
          <w:i/>
          <w:iCs/>
        </w:rPr>
        <w:t>direct</w:t>
      </w:r>
      <w:r>
        <w:t xml:space="preserve"> input requirements per unit of production. Total output must satisfy:</w:t>
      </w:r>
    </w:p>
    <w:p w14:paraId="7DDA43AF" w14:textId="77777777" w:rsidR="00DD32D6" w:rsidRDefault="00000000">
      <w:pPr>
        <w:spacing w:before="240" w:after="240"/>
        <w:jc w:val="both"/>
      </w:pPr>
      <m:oMathPara>
        <m:oMath>
          <m:r>
            <w:rPr>
              <w:rFonts w:ascii="Cambria Math" w:hAnsi="Cambria Math"/>
            </w:rPr>
            <m:t>x=Ax + y</m:t>
          </m:r>
        </m:oMath>
      </m:oMathPara>
    </w:p>
    <w:p w14:paraId="3963920D" w14:textId="77777777" w:rsidR="00DD32D6" w:rsidRDefault="00000000">
      <w:pPr>
        <w:spacing w:before="240" w:after="240"/>
        <w:jc w:val="both"/>
      </w:pPr>
      <w:r>
        <w:t>Interpretation:</w:t>
      </w:r>
    </w:p>
    <w:p w14:paraId="3BE6D1C4" w14:textId="77777777" w:rsidR="00DD32D6" w:rsidRDefault="00000000">
      <w:pPr>
        <w:numPr>
          <w:ilvl w:val="0"/>
          <w:numId w:val="1"/>
        </w:numPr>
        <w:spacing w:before="240"/>
      </w:pPr>
      <m:oMath>
        <m:r>
          <w:rPr>
            <w:rFonts w:ascii="Cambria Math" w:hAnsi="Cambria Math"/>
          </w:rPr>
          <m:t>Ax</m:t>
        </m:r>
      </m:oMath>
      <w:r>
        <w:t>: intermediate demand (inputs required for production)</w:t>
      </w:r>
    </w:p>
    <w:p w14:paraId="210A2C43" w14:textId="77777777" w:rsidR="00DD32D6" w:rsidRDefault="00000000">
      <w:pPr>
        <w:numPr>
          <w:ilvl w:val="0"/>
          <w:numId w:val="1"/>
        </w:numPr>
      </w:pPr>
      <m:oMath>
        <m:r>
          <w:rPr>
            <w:rFonts w:ascii="Cambria Math" w:hAnsi="Cambria Math"/>
          </w:rPr>
          <m:t>y</m:t>
        </m:r>
      </m:oMath>
      <w:r>
        <w:t>: final demand</w:t>
      </w:r>
    </w:p>
    <w:p w14:paraId="1E50DAF0" w14:textId="77777777" w:rsidR="00DD32D6" w:rsidRDefault="00000000">
      <w:pPr>
        <w:numPr>
          <w:ilvl w:val="0"/>
          <w:numId w:val="1"/>
        </w:numPr>
        <w:spacing w:after="240"/>
      </w:pPr>
      <m:oMath>
        <m:r>
          <w:rPr>
            <w:rFonts w:ascii="Cambria Math" w:hAnsi="Cambria Math"/>
          </w:rPr>
          <m:t>x</m:t>
        </m:r>
      </m:oMath>
      <w:r>
        <w:t>: total output</w:t>
      </w:r>
    </w:p>
    <w:p w14:paraId="1EEBDF70" w14:textId="77777777" w:rsidR="00DD32D6" w:rsidRDefault="00000000">
      <w:pPr>
        <w:spacing w:after="80"/>
        <w:jc w:val="both"/>
      </w:pPr>
      <w:r>
        <w:t xml:space="preserve">Solving for Total Output. Rearrange: </w:t>
      </w:r>
      <m:oMath>
        <m:r>
          <w:rPr>
            <w:rFonts w:ascii="Cambria Math" w:hAnsi="Cambria Math"/>
          </w:rPr>
          <m:t>x-Ax = y</m:t>
        </m:r>
      </m:oMath>
      <w:r>
        <w:rPr>
          <w:rFonts w:ascii="Arial Unicode MS" w:eastAsia="Arial Unicode MS" w:hAnsi="Arial Unicode MS" w:cs="Arial Unicode MS"/>
        </w:rPr>
        <w:t xml:space="preserve"> → </w:t>
      </w:r>
      <m:oMath>
        <m:r>
          <w:rPr>
            <w:rFonts w:ascii="Cambria Math" w:hAnsi="Cambria Math"/>
          </w:rPr>
          <m:t>(I-A)x = y</m:t>
        </m:r>
      </m:oMath>
    </w:p>
    <w:p w14:paraId="59E792A5" w14:textId="77777777" w:rsidR="00DD32D6" w:rsidRDefault="00000000">
      <w:pPr>
        <w:spacing w:before="240" w:after="240"/>
        <w:jc w:val="both"/>
      </w:pPr>
      <w:r>
        <w:t>Where (</w:t>
      </w:r>
      <m:oMath>
        <m:r>
          <w:rPr>
            <w:rFonts w:ascii="Cambria Math" w:hAnsi="Cambria Math"/>
          </w:rPr>
          <m:t>I</m:t>
        </m:r>
      </m:oMath>
      <w:r>
        <w:t>) is the identity matrix. Now solve for (</w:t>
      </w:r>
      <m:oMath>
        <m:r>
          <w:rPr>
            <w:rFonts w:ascii="Cambria Math" w:hAnsi="Cambria Math"/>
          </w:rPr>
          <m:t>x</m:t>
        </m:r>
      </m:oMath>
      <w:r>
        <w:t xml:space="preserve">): </w:t>
      </w:r>
      <m:oMath>
        <m:r>
          <w:rPr>
            <w:rFonts w:ascii="Cambria Math" w:hAnsi="Cambria Math"/>
          </w:rPr>
          <m:t>x =(I-A</m:t>
        </m:r>
        <m:sSup>
          <m:sSupPr>
            <m:ctrlPr>
              <w:rPr>
                <w:rFonts w:ascii="Cambria Math" w:hAnsi="Cambria Math"/>
              </w:rPr>
            </m:ctrlPr>
          </m:sSupPr>
          <m:e>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y</m:t>
            </m:r>
          </m:e>
          <m:sup/>
        </m:sSup>
        <m:r>
          <w:rPr>
            <w:rFonts w:ascii="Cambria Math" w:hAnsi="Cambria Math"/>
          </w:rPr>
          <m:t xml:space="preserve"> </m:t>
        </m:r>
      </m:oMath>
    </w:p>
    <w:p w14:paraId="23F19E4F" w14:textId="77777777" w:rsidR="00DD32D6" w:rsidRDefault="00000000">
      <w:pPr>
        <w:spacing w:after="80"/>
        <w:jc w:val="both"/>
      </w:pPr>
      <w:r>
        <w:t xml:space="preserve">The Leontief Inverse: </w:t>
      </w:r>
      <m:oMath>
        <m:r>
          <w:rPr>
            <w:rFonts w:ascii="Cambria Math" w:hAnsi="Cambria Math"/>
          </w:rPr>
          <m:t>L=(I-A</m:t>
        </m:r>
        <m:sSup>
          <m:sSupPr>
            <m:ctrlPr>
              <w:rPr>
                <w:rFonts w:ascii="Cambria Math" w:hAnsi="Cambria Math"/>
              </w:rPr>
            </m:ctrlPr>
          </m:sSupPr>
          <m:e>
            <m:sSup>
              <m:sSupPr>
                <m:ctrlPr>
                  <w:rPr>
                    <w:rFonts w:ascii="Cambria Math" w:hAnsi="Cambria Math"/>
                  </w:rPr>
                </m:ctrlPr>
              </m:sSupPr>
              <m:e>
                <m:r>
                  <w:rPr>
                    <w:rFonts w:ascii="Cambria Math" w:hAnsi="Cambria Math"/>
                  </w:rPr>
                  <m:t>)</m:t>
                </m:r>
              </m:e>
              <m:sup>
                <m:r>
                  <w:rPr>
                    <w:rFonts w:ascii="Cambria Math" w:hAnsi="Cambria Math"/>
                  </w:rPr>
                  <m:t>-1</m:t>
                </m:r>
              </m:sup>
            </m:sSup>
          </m:e>
          <m:sup/>
        </m:sSup>
      </m:oMath>
    </w:p>
    <w:p w14:paraId="0752F26D" w14:textId="77777777" w:rsidR="00DD32D6" w:rsidRDefault="00000000">
      <w:pPr>
        <w:spacing w:before="240" w:after="240"/>
        <w:jc w:val="both"/>
      </w:pPr>
      <w:r>
        <w:t>This matrix (</w:t>
      </w:r>
      <m:oMath>
        <m:r>
          <w:rPr>
            <w:rFonts w:ascii="Cambria Math" w:hAnsi="Cambria Math"/>
          </w:rPr>
          <m:t>L</m:t>
        </m:r>
      </m:oMath>
      <w:r>
        <w:t xml:space="preserve">) is called the </w:t>
      </w:r>
      <w:r>
        <w:rPr>
          <w:b/>
          <w:bCs/>
        </w:rPr>
        <w:t>Leontief inverse</w:t>
      </w:r>
      <w:r>
        <w:t>. Each element (</w:t>
      </w:r>
      <m:oMath>
        <m:sSub>
          <m:sSubPr>
            <m:ctrlPr>
              <w:rPr>
                <w:rFonts w:ascii="Cambria Math" w:hAnsi="Cambria Math"/>
              </w:rPr>
            </m:ctrlPr>
          </m:sSubPr>
          <m:e>
            <m:r>
              <w:rPr>
                <w:rFonts w:ascii="Cambria Math" w:hAnsi="Cambria Math"/>
              </w:rPr>
              <m:t>L</m:t>
            </m:r>
          </m:e>
          <m:sub>
            <m:r>
              <w:rPr>
                <w:rFonts w:ascii="Cambria Math" w:hAnsi="Cambria Math"/>
              </w:rPr>
              <m:t>ij</m:t>
            </m:r>
          </m:sub>
        </m:sSub>
      </m:oMath>
      <w:r>
        <w:t>) measures:</w:t>
      </w:r>
    </w:p>
    <w:p w14:paraId="142AFC25" w14:textId="77777777" w:rsidR="00DD32D6" w:rsidRDefault="00000000">
      <w:pPr>
        <w:spacing w:before="240" w:after="240"/>
        <w:ind w:right="600"/>
        <w:jc w:val="both"/>
      </w:pPr>
      <w:r>
        <w:t xml:space="preserve">The total (direct + indirect) output from sector </w:t>
      </w:r>
      <w:proofErr w:type="spellStart"/>
      <w:r>
        <w:rPr>
          <w:i/>
          <w:iCs/>
        </w:rPr>
        <w:t>i</w:t>
      </w:r>
      <w:proofErr w:type="spellEnd"/>
      <w:r>
        <w:rPr>
          <w:i/>
          <w:iCs/>
        </w:rPr>
        <w:t xml:space="preserve"> is required</w:t>
      </w:r>
      <w:r>
        <w:t xml:space="preserve"> to satisfy one unit of final demand in sector </w:t>
      </w:r>
      <w:r>
        <w:rPr>
          <w:i/>
          <w:iCs/>
        </w:rPr>
        <w:t>j</w:t>
      </w:r>
      <w:r>
        <w:t xml:space="preserve">. Why Does It Capture Supply Chains? If the spectral radius of </w:t>
      </w:r>
      <w:proofErr w:type="gramStart"/>
      <w:r>
        <w:t>( A</w:t>
      </w:r>
      <w:proofErr w:type="gramEnd"/>
      <w:r>
        <w:t xml:space="preserve"> ) is less than 1, we can expand: </w:t>
      </w:r>
      <m:oMath>
        <m:r>
          <w:rPr>
            <w:rFonts w:ascii="Cambria Math" w:hAnsi="Cambria Math"/>
          </w:rPr>
          <m:t>(I-A</m:t>
        </m:r>
        <m:sSup>
          <m:sSupPr>
            <m:ctrlPr>
              <w:rPr>
                <w:rFonts w:ascii="Cambria Math" w:hAnsi="Cambria Math"/>
              </w:rPr>
            </m:ctrlPr>
          </m:sSupPr>
          <m:e>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 I+A+</m:t>
            </m:r>
            <m:sSup>
              <m:sSupPr>
                <m:ctrlPr>
                  <w:rPr>
                    <w:rFonts w:ascii="Cambria Math" w:hAnsi="Cambria Math"/>
                  </w:rPr>
                </m:ctrlPr>
              </m:sSupPr>
              <m:e>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sSup>
                      <m:sSupPr>
                        <m:ctrlPr>
                          <w:rPr>
                            <w:rFonts w:ascii="Cambria Math" w:hAnsi="Cambria Math"/>
                          </w:rPr>
                        </m:ctrlPr>
                      </m:sSupPr>
                      <m:e>
                        <m:r>
                          <w:rPr>
                            <w:rFonts w:ascii="Cambria Math" w:hAnsi="Cambria Math"/>
                          </w:rPr>
                          <m:t>A</m:t>
                        </m:r>
                      </m:e>
                      <m:sup>
                        <m:r>
                          <w:rPr>
                            <w:rFonts w:ascii="Cambria Math" w:hAnsi="Cambria Math"/>
                          </w:rPr>
                          <m:t>3</m:t>
                        </m:r>
                      </m:sup>
                    </m:sSup>
                  </m:e>
                  <m:sup/>
                </m:sSup>
              </m:e>
              <m:sup/>
            </m:sSup>
          </m:e>
          <m:sup/>
        </m:sSup>
      </m:oMath>
    </w:p>
    <w:p w14:paraId="5017C1ED" w14:textId="77777777" w:rsidR="00DD32D6" w:rsidRDefault="00000000">
      <w:pPr>
        <w:spacing w:before="240" w:after="240"/>
        <w:jc w:val="both"/>
      </w:pPr>
      <w:r>
        <w:t>Interpretation:</w:t>
      </w:r>
    </w:p>
    <w:p w14:paraId="3A777A90" w14:textId="77777777" w:rsidR="00DD32D6" w:rsidRDefault="00000000">
      <w:pPr>
        <w:numPr>
          <w:ilvl w:val="0"/>
          <w:numId w:val="3"/>
        </w:numPr>
        <w:spacing w:before="240"/>
      </w:pPr>
      <m:oMath>
        <m:r>
          <w:rPr>
            <w:rFonts w:ascii="Cambria Math" w:hAnsi="Cambria Math"/>
          </w:rPr>
          <m:t>I</m:t>
        </m:r>
      </m:oMath>
      <w:r>
        <w:t>: direct production</w:t>
      </w:r>
    </w:p>
    <w:p w14:paraId="14A5BB82" w14:textId="77777777" w:rsidR="00DD32D6" w:rsidRDefault="00000000">
      <w:pPr>
        <w:numPr>
          <w:ilvl w:val="0"/>
          <w:numId w:val="3"/>
        </w:numPr>
      </w:pPr>
      <m:oMath>
        <m:r>
          <w:rPr>
            <w:rFonts w:ascii="Cambria Math" w:hAnsi="Cambria Math"/>
          </w:rPr>
          <m:t>A</m:t>
        </m:r>
      </m:oMath>
      <w:r>
        <w:t>: first-round suppliers</w:t>
      </w:r>
    </w:p>
    <w:p w14:paraId="351731DC" w14:textId="77777777" w:rsidR="00DD32D6" w:rsidRDefault="00000000">
      <w:pPr>
        <w:numPr>
          <w:ilvl w:val="0"/>
          <w:numId w:val="3"/>
        </w:numPr>
      </w:pPr>
      <m:oMath>
        <m:sSup>
          <m:sSupPr>
            <m:ctrlPr>
              <w:rPr>
                <w:rFonts w:ascii="Cambria Math" w:hAnsi="Cambria Math"/>
              </w:rPr>
            </m:ctrlPr>
          </m:sSupPr>
          <m:e>
            <m:sSup>
              <m:sSupPr>
                <m:ctrlPr>
                  <w:rPr>
                    <w:rFonts w:ascii="Cambria Math" w:hAnsi="Cambria Math"/>
                  </w:rPr>
                </m:ctrlPr>
              </m:sSupPr>
              <m:e>
                <m:r>
                  <w:rPr>
                    <w:rFonts w:ascii="Cambria Math" w:hAnsi="Cambria Math"/>
                  </w:rPr>
                  <m:t>A</m:t>
                </m:r>
              </m:e>
              <m:sup>
                <m:r>
                  <w:rPr>
                    <w:rFonts w:ascii="Cambria Math" w:hAnsi="Cambria Math"/>
                  </w:rPr>
                  <m:t>2</m:t>
                </m:r>
              </m:sup>
            </m:sSup>
          </m:e>
          <m:sup/>
        </m:sSup>
      </m:oMath>
      <w:r>
        <w:t>: suppliers of suppliers</w:t>
      </w:r>
    </w:p>
    <w:p w14:paraId="55E09146" w14:textId="77777777" w:rsidR="00DD32D6" w:rsidRDefault="00000000">
      <w:pPr>
        <w:numPr>
          <w:ilvl w:val="0"/>
          <w:numId w:val="3"/>
        </w:numPr>
      </w:pPr>
      <m:oMath>
        <m:sSup>
          <m:sSupPr>
            <m:ctrlPr>
              <w:rPr>
                <w:rFonts w:ascii="Cambria Math" w:hAnsi="Cambria Math"/>
              </w:rPr>
            </m:ctrlPr>
          </m:sSupPr>
          <m:e>
            <m:sSup>
              <m:sSupPr>
                <m:ctrlPr>
                  <w:rPr>
                    <w:rFonts w:ascii="Cambria Math" w:hAnsi="Cambria Math"/>
                  </w:rPr>
                </m:ctrlPr>
              </m:sSupPr>
              <m:e>
                <m:r>
                  <w:rPr>
                    <w:rFonts w:ascii="Cambria Math" w:hAnsi="Cambria Math"/>
                  </w:rPr>
                  <m:t>A</m:t>
                </m:r>
              </m:e>
              <m:sup>
                <m:r>
                  <w:rPr>
                    <w:rFonts w:ascii="Cambria Math" w:hAnsi="Cambria Math"/>
                  </w:rPr>
                  <m:t>3</m:t>
                </m:r>
              </m:sup>
            </m:sSup>
          </m:e>
          <m:sup/>
        </m:sSup>
      </m:oMath>
      <w:r>
        <w:t>: third-tier suppliers</w:t>
      </w:r>
    </w:p>
    <w:p w14:paraId="233207CB" w14:textId="77777777" w:rsidR="00DD32D6" w:rsidRDefault="00000000">
      <w:pPr>
        <w:numPr>
          <w:ilvl w:val="0"/>
          <w:numId w:val="3"/>
        </w:numPr>
        <w:spacing w:after="240"/>
      </w:pPr>
      <w:r>
        <w:t xml:space="preserve">… and </w:t>
      </w:r>
      <w:proofErr w:type="gramStart"/>
      <w:r>
        <w:t>so</w:t>
      </w:r>
      <w:proofErr w:type="gramEnd"/>
      <w:r>
        <w:t xml:space="preserve"> on</w:t>
      </w:r>
    </w:p>
    <w:p w14:paraId="5161B6A9" w14:textId="77777777" w:rsidR="00DD32D6" w:rsidRDefault="00000000">
      <w:pPr>
        <w:spacing w:before="240" w:after="240"/>
        <w:jc w:val="both"/>
      </w:pPr>
      <w:r>
        <w:lastRenderedPageBreak/>
        <w:t>That’s the entire upstream production chain.</w:t>
      </w:r>
    </w:p>
    <w:p w14:paraId="2F20090C" w14:textId="1B2827FF" w:rsidR="00D270E5" w:rsidRPr="00D270E5" w:rsidRDefault="00D270E5">
      <w:pPr>
        <w:spacing w:before="240" w:after="240"/>
        <w:jc w:val="both"/>
        <w:rPr>
          <w:b/>
          <w:bCs/>
        </w:rPr>
      </w:pPr>
      <w:r w:rsidRPr="00D270E5">
        <w:rPr>
          <w:b/>
          <w:bCs/>
        </w:rPr>
        <w:t>Footnotes:</w:t>
      </w:r>
    </w:p>
    <w:sectPr w:rsidR="00D270E5" w:rsidRPr="00D270E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86483" w14:textId="77777777" w:rsidR="008C4DC1" w:rsidRDefault="008C4DC1">
      <w:pPr>
        <w:spacing w:line="240" w:lineRule="auto"/>
      </w:pPr>
      <w:r>
        <w:separator/>
      </w:r>
    </w:p>
  </w:endnote>
  <w:endnote w:type="continuationSeparator" w:id="0">
    <w:p w14:paraId="3D532A89" w14:textId="77777777" w:rsidR="008C4DC1" w:rsidRDefault="008C4D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40CA93F-8C6E-A64B-B411-80D4359DC82F}"/>
  </w:font>
  <w:font w:name="Arial">
    <w:panose1 w:val="020B0604020202020204"/>
    <w:charset w:val="00"/>
    <w:family w:val="swiss"/>
    <w:pitch w:val="variable"/>
    <w:sig w:usb0="E0002AFF" w:usb1="C0007843" w:usb2="00000009" w:usb3="00000000" w:csb0="000001FF" w:csb1="00000000"/>
    <w:embedRegular r:id="rId2" w:fontKey="{9E9DA3F7-3BC9-9140-9CFE-DB1CEEB02AA7}"/>
    <w:embedBold r:id="rId3" w:fontKey="{815753EE-EF0F-2A41-9A09-7A6BF4A22118}"/>
    <w:embedItalic r:id="rId4" w:fontKey="{9C4C080B-2908-D84F-B7BD-6EB51A144F10}"/>
  </w:font>
  <w:font w:name="Cambria Math">
    <w:panose1 w:val="02040503050406030204"/>
    <w:charset w:val="00"/>
    <w:family w:val="roman"/>
    <w:pitch w:val="variable"/>
    <w:sig w:usb0="E00002FF" w:usb1="420024FF" w:usb2="00000000" w:usb3="00000000" w:csb0="0000019F" w:csb1="00000000"/>
    <w:embedRegular r:id="rId5" w:fontKey="{6F5F0175-1FDE-F34B-961A-2FE36483D40A}"/>
    <w:embedItalic r:id="rId6" w:fontKey="{948078F1-D4C8-B144-83DD-E507640702C6}"/>
  </w:font>
  <w:font w:name="Roboto">
    <w:panose1 w:val="02000000000000000000"/>
    <w:charset w:val="00"/>
    <w:family w:val="auto"/>
    <w:pitch w:val="variable"/>
    <w:sig w:usb0="E0000AFF" w:usb1="5000217F" w:usb2="00000021" w:usb3="00000000" w:csb0="0000019F" w:csb1="00000000"/>
    <w:embedRegular r:id="rId7" w:fontKey="{336F9D03-3D20-7845-8C59-178CDB4B6C76}"/>
  </w:font>
  <w:font w:name="Arial Unicode MS">
    <w:panose1 w:val="020B0604020202020204"/>
    <w:charset w:val="80"/>
    <w:family w:val="swiss"/>
    <w:pitch w:val="variable"/>
    <w:sig w:usb0="F7FFAFFF" w:usb1="E9DFFFFF" w:usb2="0000003F" w:usb3="00000000" w:csb0="003F01FF" w:csb1="00000000"/>
    <w:embedRegular r:id="rId8" w:subsetted="1" w:fontKey="{B6425C38-849F-DD47-8CBB-010D3CC5DF6D}"/>
  </w:font>
  <w:font w:name="Calibri">
    <w:panose1 w:val="020F0502020204030204"/>
    <w:charset w:val="00"/>
    <w:family w:val="swiss"/>
    <w:pitch w:val="variable"/>
    <w:sig w:usb0="E0002AFF" w:usb1="C000247B" w:usb2="00000009" w:usb3="00000000" w:csb0="000001FF" w:csb1="00000000"/>
    <w:embedRegular r:id="rId9" w:fontKey="{4600E3D0-3C68-9244-A52D-C34ED6A41C01}"/>
  </w:font>
  <w:font w:name="Cambria">
    <w:panose1 w:val="02040503050406030204"/>
    <w:charset w:val="00"/>
    <w:family w:val="roman"/>
    <w:pitch w:val="variable"/>
    <w:sig w:usb0="E00002FF" w:usb1="400004FF" w:usb2="00000000" w:usb3="00000000" w:csb0="0000019F" w:csb1="00000000"/>
    <w:embedRegular r:id="rId10" w:fontKey="{146BDB02-8134-7B48-BD12-62223633C8F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508CF" w14:textId="77777777" w:rsidR="008C4DC1" w:rsidRDefault="008C4DC1">
      <w:pPr>
        <w:spacing w:line="240" w:lineRule="auto"/>
      </w:pPr>
      <w:r>
        <w:separator/>
      </w:r>
    </w:p>
  </w:footnote>
  <w:footnote w:type="continuationSeparator" w:id="0">
    <w:p w14:paraId="1580CCFE" w14:textId="77777777" w:rsidR="008C4DC1" w:rsidRDefault="008C4DC1">
      <w:pPr>
        <w:spacing w:line="240" w:lineRule="auto"/>
      </w:pPr>
      <w:r>
        <w:continuationSeparator/>
      </w:r>
    </w:p>
  </w:footnote>
  <w:footnote w:id="1">
    <w:p w14:paraId="2DD734A1" w14:textId="77777777" w:rsidR="00DD32D6" w:rsidRDefault="00000000">
      <w:pPr>
        <w:spacing w:line="240" w:lineRule="auto"/>
        <w:rPr>
          <w:sz w:val="16"/>
          <w:szCs w:val="16"/>
        </w:rPr>
      </w:pPr>
      <w:r>
        <w:rPr>
          <w:vertAlign w:val="superscript"/>
        </w:rPr>
        <w:footnoteRef/>
      </w:r>
      <w:r>
        <w:rPr>
          <w:sz w:val="16"/>
          <w:szCs w:val="16"/>
        </w:rPr>
        <w:t xml:space="preserve"> They also contain data on consumption, investment, government spending, and net exports, but we won’t need that for this exercise</w:t>
      </w:r>
    </w:p>
  </w:footnote>
  <w:footnote w:id="2">
    <w:p w14:paraId="340AD08B" w14:textId="77777777" w:rsidR="00DD32D6" w:rsidRDefault="00000000">
      <w:pPr>
        <w:spacing w:line="240" w:lineRule="auto"/>
        <w:rPr>
          <w:sz w:val="16"/>
          <w:szCs w:val="16"/>
        </w:rPr>
      </w:pPr>
      <w:r>
        <w:rPr>
          <w:vertAlign w:val="superscript"/>
        </w:rPr>
        <w:footnoteRef/>
      </w:r>
      <w:r>
        <w:rPr>
          <w:sz w:val="16"/>
          <w:szCs w:val="16"/>
        </w:rPr>
        <w:t xml:space="preserve"> EXIOBASE is a global, detailed Multi-Regional Environmentally Extended Supply-Use Table (MR-SUT) and Input-Output Table (MR-IOT). It was developed by harmonizing and detailing supply-use tables for </w:t>
      </w:r>
      <w:proofErr w:type="gramStart"/>
      <w:r>
        <w:rPr>
          <w:sz w:val="16"/>
          <w:szCs w:val="16"/>
        </w:rPr>
        <w:t>a large number of</w:t>
      </w:r>
      <w:proofErr w:type="gramEnd"/>
      <w:r>
        <w:rPr>
          <w:sz w:val="16"/>
          <w:szCs w:val="16"/>
        </w:rPr>
        <w:t xml:space="preserve"> countries, estimating emissions and resource extractions by industry.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EC8"/>
    <w:multiLevelType w:val="multilevel"/>
    <w:tmpl w:val="E50CA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B255F3"/>
    <w:multiLevelType w:val="multilevel"/>
    <w:tmpl w:val="0BD08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D5A76EC"/>
    <w:multiLevelType w:val="multilevel"/>
    <w:tmpl w:val="0038B7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B496005"/>
    <w:multiLevelType w:val="multilevel"/>
    <w:tmpl w:val="CED68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6569384">
    <w:abstractNumId w:val="3"/>
  </w:num>
  <w:num w:numId="2" w16cid:durableId="410784101">
    <w:abstractNumId w:val="2"/>
  </w:num>
  <w:num w:numId="3" w16cid:durableId="934166432">
    <w:abstractNumId w:val="0"/>
  </w:num>
  <w:num w:numId="4" w16cid:durableId="96253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2D6"/>
    <w:rsid w:val="002A1DFB"/>
    <w:rsid w:val="003256CF"/>
    <w:rsid w:val="00357FC1"/>
    <w:rsid w:val="008C4DC1"/>
    <w:rsid w:val="00A4584A"/>
    <w:rsid w:val="00D270E5"/>
    <w:rsid w:val="00DD32D6"/>
    <w:rsid w:val="00E03770"/>
    <w:rsid w:val="00E14E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8778DEF"/>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obelprize.org/prizes/economic-sciences/1973/summar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nobelprize.org/prizes/economic-sciences/1973/summary/" TargetMode="External"/><Relationship Id="rId4" Type="http://schemas.openxmlformats.org/officeDocument/2006/relationships/webSettings" Target="webSettings.xml"/><Relationship Id="rId9" Type="http://schemas.openxmlformats.org/officeDocument/2006/relationships/hyperlink" Target="https://www.exiobase.eu" TargetMode="External"/><Relationship Id="rId14" Type="http://schemas.openxmlformats.org/officeDocument/2006/relationships/hyperlink" Target="https://www.carbonsense.net/assets/articles/the-social-cost-of-carbon-and-why-it-is-no-longer-counted.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1871</Words>
  <Characters>10239</Characters>
  <Application>Microsoft Office Word</Application>
  <DocSecurity>0</DocSecurity>
  <Lines>176</Lines>
  <Paragraphs>71</Paragraphs>
  <ScaleCrop>false</ScaleCrop>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2026-02-16T16:08:00Z</dcterms:created>
  <dcterms:modified xsi:type="dcterms:W3CDTF">2026-02-16T16:14:00Z</dcterms:modified>
</cp:coreProperties>
</file>