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179B8" w14:textId="77777777" w:rsidR="00480014" w:rsidRDefault="00000000">
      <w:pPr>
        <w:jc w:val="both"/>
      </w:pPr>
      <w:r>
        <w:t>The Spanish economy and Climate Change: An Input-Output analysis</w:t>
      </w:r>
    </w:p>
    <w:p w14:paraId="49474F1A" w14:textId="77777777" w:rsidR="00480014" w:rsidRDefault="00480014">
      <w:pPr>
        <w:jc w:val="both"/>
        <w:rPr>
          <w:color w:val="E69138"/>
        </w:rPr>
      </w:pPr>
    </w:p>
    <w:p w14:paraId="4FB26851" w14:textId="77777777" w:rsidR="00480014" w:rsidRDefault="00000000">
      <w:pPr>
        <w:jc w:val="both"/>
      </w:pPr>
      <w:r>
        <w:t xml:space="preserve">By JD and </w:t>
      </w:r>
      <w:commentRangeStart w:id="0"/>
      <w:commentRangeStart w:id="1"/>
      <w:r>
        <w:t>Lucien</w:t>
      </w:r>
      <w:commentRangeEnd w:id="1"/>
      <w:r>
        <w:rPr>
          <w:rStyle w:val="CommentReference"/>
          <w:sz w:val="22"/>
          <w:szCs w:val="22"/>
        </w:rPr>
        <w:commentReference w:id="1"/>
      </w:r>
      <w:commentRangeEnd w:id="0"/>
      <w:r>
        <w:rPr>
          <w:rStyle w:val="CommentReference"/>
          <w:sz w:val="22"/>
          <w:szCs w:val="22"/>
        </w:rPr>
        <w:commentReference w:id="0"/>
      </w:r>
    </w:p>
    <w:p w14:paraId="0A58DD65" w14:textId="77777777" w:rsidR="00480014" w:rsidRDefault="00000000">
      <w:pPr>
        <w:spacing w:before="240" w:after="240"/>
        <w:ind w:right="600"/>
        <w:jc w:val="both"/>
      </w:pPr>
      <w:r>
        <w:t>To measure our success in fighting climate change, we must look at one primary figure: the volume of GHG emissions in the atmosphere. It turns out that the extent to which production contributes every year to such a volume of emissions depends greatly on its sectoral composition. This is because technologies used across sectors vary widely. For example, cement manufacturing depends on carbon-intensive combustion technologies for heating and cooling, while the business services sector is driven primarily by human interaction, a naturally low-carbon technology.</w:t>
      </w:r>
    </w:p>
    <w:p w14:paraId="0E3229BC" w14:textId="77777777" w:rsidR="00480014" w:rsidRDefault="00000000">
      <w:pPr>
        <w:spacing w:before="240" w:after="240"/>
        <w:ind w:right="600"/>
        <w:jc w:val="both"/>
      </w:pPr>
      <w:r>
        <w:t xml:space="preserve">This is why the economic implications of climate policy differ greatly across sectors – it is supposed to punish carbon-intensive sectors more severely. But,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w:t>
      </w:r>
      <w:commentRangeStart w:id="2"/>
      <w:r>
        <w:t>how much your much needed</w:t>
      </w:r>
      <w:commentRangeEnd w:id="2"/>
      <w:r>
        <w:rPr>
          <w:rStyle w:val="CommentReference"/>
          <w:sz w:val="22"/>
          <w:szCs w:val="22"/>
        </w:rPr>
        <w:commentReference w:id="2"/>
      </w:r>
      <w:r>
        <w:t xml:space="preserve"> suppliers emit. In fact, corporate reporting standards aspire to require disclosure across three categories: Scope 1 (direct emissions), Scope 2 (indirect emissions from purchased electricity), and Scope 3 (all other emissions within the value chain, both upstream and downstream). </w:t>
      </w:r>
    </w:p>
    <w:p w14:paraId="3577D40F" w14:textId="77777777" w:rsidR="00480014" w:rsidRDefault="00000000">
      <w:pPr>
        <w:spacing w:before="240" w:after="240"/>
        <w:ind w:right="600"/>
        <w:jc w:val="center"/>
      </w:pPr>
      <w:r>
        <w:rPr>
          <w:noProof/>
        </w:rPr>
        <w:drawing>
          <wp:inline distT="114300" distB="114300" distL="114300" distR="114300" wp14:anchorId="49FD2FFB" wp14:editId="11268528">
            <wp:extent cx="3433763" cy="2195627"/>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433763" cy="2195627"/>
                    </a:xfrm>
                    <a:prstGeom prst="rect">
                      <a:avLst/>
                    </a:prstGeom>
                    <a:ln/>
                  </pic:spPr>
                </pic:pic>
              </a:graphicData>
            </a:graphic>
          </wp:inline>
        </w:drawing>
      </w:r>
    </w:p>
    <w:p w14:paraId="510F1738" w14:textId="77777777" w:rsidR="00480014" w:rsidRDefault="00000000">
      <w:pPr>
        <w:spacing w:before="240" w:after="240"/>
        <w:ind w:right="600"/>
        <w:jc w:val="center"/>
        <w:rPr>
          <w:color w:val="666666"/>
          <w:sz w:val="18"/>
          <w:szCs w:val="18"/>
        </w:rPr>
      </w:pPr>
      <w:r>
        <w:rPr>
          <w:color w:val="666666"/>
          <w:sz w:val="18"/>
          <w:szCs w:val="18"/>
        </w:rPr>
        <w:t xml:space="preserve">Source: U.S Environmental Protection Agency (EPA). Emissions by Scope inventory guidance </w:t>
      </w:r>
    </w:p>
    <w:p w14:paraId="4AFA9C08" w14:textId="77777777" w:rsidR="00480014" w:rsidRPr="001E718C" w:rsidRDefault="00000000" w:rsidP="001E718C">
      <w:pPr>
        <w:pStyle w:val="Heading1"/>
        <w:rPr>
          <w:sz w:val="28"/>
          <w:szCs w:val="28"/>
        </w:rPr>
      </w:pPr>
      <w:r w:rsidRPr="001E718C">
        <w:rPr>
          <w:sz w:val="28"/>
          <w:szCs w:val="28"/>
        </w:rPr>
        <w:t>The Data</w:t>
      </w:r>
    </w:p>
    <w:p w14:paraId="0B40ACD6" w14:textId="77777777" w:rsidR="00480014" w:rsidRDefault="00000000">
      <w:pPr>
        <w:spacing w:before="240" w:after="240"/>
        <w:ind w:right="600"/>
        <w:jc w:val="both"/>
      </w:pPr>
      <w:r>
        <w:t xml:space="preserve">A useful tool to analyze direct and indirect emissions across sectors are Input-Output tables. Understanding these at a global level gets unnecessarily complicated, so let's focus on the Spanish economy. </w:t>
      </w:r>
    </w:p>
    <w:p w14:paraId="4B333D9F" w14:textId="77777777" w:rsidR="00480014" w:rsidRDefault="00000000">
      <w:pPr>
        <w:jc w:val="both"/>
      </w:pPr>
      <w:r>
        <w:lastRenderedPageBreak/>
        <w:t>Input-Output tables contain the output produced by each sector, as well as the inputs that each sector buys from other sectors. They also contain data on consumption, investment, government spending, and net exports, but we won’t need that for this exercise. Therefore, the table of interest looks as follows:</w:t>
      </w:r>
    </w:p>
    <w:p w14:paraId="07CFD93A" w14:textId="77777777" w:rsidR="00480014" w:rsidRDefault="00000000">
      <w:pPr>
        <w:jc w:val="center"/>
      </w:pPr>
      <w:r>
        <w:rPr>
          <w:noProof/>
        </w:rPr>
        <w:drawing>
          <wp:inline distT="114300" distB="114300" distL="114300" distR="114300" wp14:anchorId="0DCF0243" wp14:editId="599676B1">
            <wp:extent cx="2952240" cy="185461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52240" cy="1854612"/>
                    </a:xfrm>
                    <a:prstGeom prst="rect">
                      <a:avLst/>
                    </a:prstGeom>
                    <a:ln/>
                  </pic:spPr>
                </pic:pic>
              </a:graphicData>
            </a:graphic>
          </wp:inline>
        </w:drawing>
      </w:r>
    </w:p>
    <w:p w14:paraId="4BCD3F17" w14:textId="77777777" w:rsidR="00480014" w:rsidRDefault="00000000">
      <w:pPr>
        <w:jc w:val="center"/>
        <w:rPr>
          <w:color w:val="444746"/>
          <w:sz w:val="18"/>
          <w:szCs w:val="18"/>
        </w:rPr>
      </w:pPr>
      <w:r>
        <w:rPr>
          <w:color w:val="444746"/>
          <w:sz w:val="18"/>
          <w:szCs w:val="18"/>
        </w:rPr>
        <w:t>Source: Input-Output table. Own elaboration</w:t>
      </w:r>
    </w:p>
    <w:p w14:paraId="1BFA37F7" w14:textId="77777777" w:rsidR="00480014" w:rsidRDefault="00480014">
      <w:pPr>
        <w:jc w:val="both"/>
      </w:pPr>
    </w:p>
    <w:p w14:paraId="6941B3B4" w14:textId="77777777" w:rsidR="00480014" w:rsidRDefault="00000000">
      <w:pPr>
        <w:jc w:val="both"/>
      </w:pPr>
      <w:r>
        <w:t xml:space="preserve">The rows correspond to the producing sectors, and columns to the consuming sectors. Therefore, the agriculture row shows agricultural output sold to each consuming sector. The </w:t>
      </w:r>
      <m:oMath>
        <m:sSub>
          <m:sSubPr>
            <m:ctrlPr>
              <w:rPr>
                <w:rFonts w:ascii="Cambria Math" w:hAnsi="Cambria Math"/>
              </w:rPr>
            </m:ctrlPr>
          </m:sSubPr>
          <m:e>
            <m:r>
              <w:rPr>
                <w:rFonts w:ascii="Cambria Math" w:hAnsi="Cambria Math"/>
              </w:rPr>
              <m:t>a</m:t>
            </m:r>
          </m:e>
          <m:sub>
            <m:r>
              <w:rPr>
                <w:rFonts w:ascii="Cambria Math" w:hAnsi="Cambria Math"/>
              </w:rPr>
              <m:t>11</m:t>
            </m:r>
          </m:sub>
        </m:sSub>
      </m:oMath>
      <w:r>
        <w:t xml:space="preserve"> cell would therefore be the agricultural output sold to the agricultural sector, which is usually zero but sometimes positive: think of</w:t>
      </w:r>
      <w:r>
        <w:rPr>
          <w:rFonts w:ascii="Roboto" w:eastAsia="Roboto" w:hAnsi="Roboto" w:cs="Roboto"/>
          <w:highlight w:val="white"/>
        </w:rPr>
        <w:t xml:space="preserve"> grain (output) used as seed (input) for the next planting season</w:t>
      </w:r>
      <w:r>
        <w:t xml:space="preserve">). The </w:t>
      </w:r>
      <m:oMath>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 </m:t>
        </m:r>
      </m:oMath>
      <w:r>
        <w:t xml:space="preserve">cell would be the agricultural output sold to the mining sector, and so on. </w:t>
      </w:r>
    </w:p>
    <w:p w14:paraId="1897EA58" w14:textId="77777777" w:rsidR="00480014" w:rsidRDefault="00480014">
      <w:pPr>
        <w:jc w:val="both"/>
      </w:pPr>
    </w:p>
    <w:p w14:paraId="1705DF4E" w14:textId="77777777" w:rsidR="00480014" w:rsidRDefault="00000000">
      <w:pPr>
        <w:jc w:val="both"/>
      </w:pPr>
      <w:commentRangeStart w:id="3"/>
      <w:r>
        <w:t>EXIOBASE</w:t>
      </w:r>
      <w:commentRangeEnd w:id="3"/>
      <w:r>
        <w:rPr>
          <w:rStyle w:val="CommentReference"/>
          <w:sz w:val="22"/>
          <w:szCs w:val="22"/>
        </w:rPr>
        <w:commentReference w:id="3"/>
      </w:r>
      <w:r>
        <w:t xml:space="preserve"> provides this table for 44 economies across 163 sectors. Moreover, EXIOBASE also provides the Scope 1 GHG emissions for each of these country-sectors, so half of our work is already done (Scope 1 emissions). For the other half (Scope 2 and 3 emissions), we will need to borrow a Nobel Prize winning idea…</w:t>
      </w:r>
    </w:p>
    <w:p w14:paraId="575462B1" w14:textId="77777777" w:rsidR="00480014" w:rsidRDefault="00480014">
      <w:pPr>
        <w:jc w:val="both"/>
      </w:pPr>
    </w:p>
    <w:p w14:paraId="5B5AF259" w14:textId="77777777" w:rsidR="00480014" w:rsidRPr="001E718C" w:rsidRDefault="00000000" w:rsidP="001E718C">
      <w:pPr>
        <w:pStyle w:val="Heading1"/>
        <w:rPr>
          <w:sz w:val="28"/>
          <w:szCs w:val="28"/>
        </w:rPr>
      </w:pPr>
      <w:r w:rsidRPr="001E718C">
        <w:rPr>
          <w:sz w:val="28"/>
          <w:szCs w:val="28"/>
        </w:rPr>
        <w:t>The classical Leontief model</w:t>
      </w:r>
    </w:p>
    <w:p w14:paraId="4B101633" w14:textId="77777777" w:rsidR="00480014" w:rsidRDefault="00480014">
      <w:pPr>
        <w:jc w:val="both"/>
      </w:pPr>
    </w:p>
    <w:p w14:paraId="43308283" w14:textId="77777777" w:rsidR="00480014" w:rsidRDefault="00000000">
      <w:pPr>
        <w:spacing w:after="240"/>
        <w:jc w:val="both"/>
      </w:pPr>
      <w:r>
        <w:t xml:space="preserve">While the Input-Output table provides the "recipe" for production, that only tells us about the </w:t>
      </w:r>
      <w:r>
        <w:rPr>
          <w:b/>
          <w:bCs/>
        </w:rPr>
        <w:t>direct</w:t>
      </w:r>
      <w:r>
        <w:t xml:space="preserve"> requirements. For example, we can see exactly how much electricity the agricultural sector purchases to produce its own output. However, for any sector, the upstream supply chain does not stop there. The electricity suppliers need (their own inputs) fuel and infrastructure to operate. And fuel and infrastructure suppliers also need their own inputs to supply to electricity producers what they demand. Therefore, final demand for agricultural output triggers a whole chain of production across supplying sectors.</w:t>
      </w:r>
    </w:p>
    <w:p w14:paraId="370BA937" w14:textId="77777777" w:rsidR="00480014" w:rsidRDefault="00000000">
      <w:pPr>
        <w:spacing w:after="240"/>
        <w:jc w:val="both"/>
      </w:pPr>
      <w:commentRangeStart w:id="4"/>
      <w:commentRangeStart w:id="5"/>
      <w:r>
        <w:t xml:space="preserve">This is where the </w:t>
      </w:r>
      <w:hyperlink r:id="rId9">
        <w:r w:rsidR="00480014">
          <w:rPr>
            <w:color w:val="1155CC"/>
            <w:u w:val="single"/>
          </w:rPr>
          <w:t xml:space="preserve">Nobel prize-winning </w:t>
        </w:r>
      </w:hyperlink>
      <w:hyperlink r:id="rId10">
        <w:r w:rsidR="00480014">
          <w:rPr>
            <w:b/>
            <w:bCs/>
            <w:color w:val="1155CC"/>
            <w:u w:val="single"/>
          </w:rPr>
          <w:t>Leontief</w:t>
        </w:r>
      </w:hyperlink>
      <w:r>
        <w:rPr>
          <w:b/>
          <w:bCs/>
        </w:rPr>
        <w:t xml:space="preserve"> Inverse</w:t>
      </w:r>
      <w:r>
        <w:t xml:space="preserve"> model comes in. It accounts not only for the direct input requirements of a sector, but also for such a chain of production across supplying sectors. As a result, you end up with a matrix structured in the same way as the Input-Output table, but that shall be interpreted differently.</w:t>
      </w:r>
      <w:commentRangeEnd w:id="5"/>
      <w:r>
        <w:rPr>
          <w:rStyle w:val="CommentReference"/>
          <w:sz w:val="22"/>
          <w:szCs w:val="22"/>
        </w:rPr>
        <w:commentReference w:id="5"/>
      </w:r>
      <w:commentRangeEnd w:id="4"/>
      <w:r>
        <w:rPr>
          <w:rStyle w:val="CommentReference"/>
          <w:sz w:val="22"/>
          <w:szCs w:val="22"/>
        </w:rPr>
        <w:commentReference w:id="4"/>
      </w:r>
    </w:p>
    <w:p w14:paraId="556783B6" w14:textId="77777777" w:rsidR="00480014" w:rsidRDefault="00000000">
      <w:pPr>
        <w:spacing w:after="240"/>
        <w:jc w:val="center"/>
      </w:pPr>
      <w:r>
        <w:rPr>
          <w:noProof/>
        </w:rPr>
        <w:lastRenderedPageBreak/>
        <w:drawing>
          <wp:inline distT="114300" distB="114300" distL="114300" distR="114300" wp14:anchorId="7C544089" wp14:editId="473CB89D">
            <wp:extent cx="2914650" cy="1830998"/>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2914650" cy="1830998"/>
                    </a:xfrm>
                    <a:prstGeom prst="rect">
                      <a:avLst/>
                    </a:prstGeom>
                    <a:ln/>
                  </pic:spPr>
                </pic:pic>
              </a:graphicData>
            </a:graphic>
          </wp:inline>
        </w:drawing>
      </w:r>
    </w:p>
    <w:p w14:paraId="7F34CA0F" w14:textId="77777777" w:rsidR="00480014" w:rsidRDefault="00000000">
      <w:pPr>
        <w:spacing w:after="240"/>
        <w:jc w:val="center"/>
        <w:rPr>
          <w:color w:val="444746"/>
          <w:sz w:val="18"/>
          <w:szCs w:val="18"/>
        </w:rPr>
      </w:pPr>
      <w:r>
        <w:rPr>
          <w:color w:val="444746"/>
          <w:sz w:val="18"/>
          <w:szCs w:val="18"/>
        </w:rPr>
        <w:t xml:space="preserve">Source: Leontief Inverse matrix. Own elaboration </w:t>
      </w:r>
    </w:p>
    <w:p w14:paraId="2738A5B3" w14:textId="77777777" w:rsidR="00480014" w:rsidRDefault="00000000">
      <w:pPr>
        <w:spacing w:after="240"/>
        <w:jc w:val="both"/>
      </w:pPr>
      <w:r>
        <w:t xml:space="preserve">Now,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does not only include the electricity consumed by the agricultural sector, but also the electricity needed by the suppliers of the electricity sector, and the electricity needed by the suppliers of the suppliers, and so on. Given this framework however, how do we translate all these upstream production requirements into emissions? </w:t>
      </w:r>
    </w:p>
    <w:p w14:paraId="43398E6E" w14:textId="77777777" w:rsidR="00480014" w:rsidRPr="001E718C" w:rsidRDefault="00000000" w:rsidP="001E718C">
      <w:pPr>
        <w:pStyle w:val="Heading1"/>
        <w:rPr>
          <w:sz w:val="28"/>
          <w:szCs w:val="28"/>
        </w:rPr>
      </w:pPr>
      <w:r w:rsidRPr="001E718C">
        <w:rPr>
          <w:sz w:val="28"/>
          <w:szCs w:val="28"/>
        </w:rPr>
        <w:t>The Leontief environmental extension</w:t>
      </w:r>
    </w:p>
    <w:p w14:paraId="1219F9F7" w14:textId="77777777" w:rsidR="00480014" w:rsidRDefault="00000000">
      <w:pPr>
        <w:spacing w:after="240"/>
        <w:jc w:val="both"/>
      </w:pPr>
      <w:commentRangeStart w:id="6"/>
      <w:r>
        <w:t>As mentioned previously, EXIOBASE does not only provide Input-Output tables,</w:t>
      </w:r>
      <w:commentRangeEnd w:id="6"/>
      <w:r>
        <w:rPr>
          <w:rStyle w:val="CommentReference"/>
          <w:sz w:val="22"/>
          <w:szCs w:val="22"/>
        </w:rPr>
        <w:commentReference w:id="6"/>
      </w:r>
      <w:r>
        <w:t xml:space="preserve"> but also what are called satellite accounts. These are tables which follow the same sectoral classification than the Input-Output table, and contain information about the sector’s associated water use, nutrient use, raw material use, and most importantly for this exercise, emissions.</w:t>
      </w:r>
      <w:r>
        <w:rPr>
          <w:b/>
          <w:bCs/>
        </w:rPr>
        <w:t xml:space="preserve"> </w:t>
      </w:r>
      <w:r>
        <w:t>Therefore allowing us to extend analysis to variables that matter for welfare and sustainability.</w:t>
      </w:r>
    </w:p>
    <w:p w14:paraId="099730B5" w14:textId="77777777" w:rsidR="00480014" w:rsidRDefault="00000000">
      <w:pPr>
        <w:spacing w:after="240"/>
        <w:jc w:val="both"/>
      </w:pPr>
      <w:r>
        <w:t xml:space="preserve">To turn the Leontief matrix into an emissions map, each cell ought to be multiplied by its corresponding producing sector’s </w:t>
      </w:r>
      <w:r>
        <w:rPr>
          <w:b/>
          <w:bCs/>
        </w:rPr>
        <w:t>emission intensity</w:t>
      </w:r>
      <w:r>
        <w:t xml:space="preserve">, 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is the electricity input needed to produce agricultural output accounting for the full chain of supplying production, and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is the direct emission intensity of electricity providers.</w:t>
      </w:r>
    </w:p>
    <w:p w14:paraId="0834372C" w14:textId="77777777" w:rsidR="00480014" w:rsidRDefault="00000000">
      <w:pPr>
        <w:jc w:val="center"/>
      </w:pPr>
      <w:r>
        <w:rPr>
          <w:noProof/>
        </w:rPr>
        <w:lastRenderedPageBreak/>
        <w:drawing>
          <wp:inline distT="114300" distB="114300" distL="114300" distR="114300" wp14:anchorId="7F8327C9" wp14:editId="659A5888">
            <wp:extent cx="3668713" cy="2304384"/>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668713" cy="2304384"/>
                    </a:xfrm>
                    <a:prstGeom prst="rect">
                      <a:avLst/>
                    </a:prstGeom>
                    <a:ln/>
                  </pic:spPr>
                </pic:pic>
              </a:graphicData>
            </a:graphic>
          </wp:inline>
        </w:drawing>
      </w:r>
    </w:p>
    <w:p w14:paraId="563534ED" w14:textId="77777777" w:rsidR="00480014" w:rsidRDefault="00000000">
      <w:pPr>
        <w:jc w:val="center"/>
        <w:rPr>
          <w:color w:val="444746"/>
          <w:sz w:val="18"/>
          <w:szCs w:val="18"/>
        </w:rPr>
      </w:pPr>
      <w:r>
        <w:rPr>
          <w:color w:val="444746"/>
          <w:sz w:val="18"/>
          <w:szCs w:val="18"/>
        </w:rPr>
        <w:t>Source: Environmentally scaled Leontief Inverse matrix. Own elaboration.</w:t>
      </w:r>
    </w:p>
    <w:p w14:paraId="523C4CCD" w14:textId="77777777" w:rsidR="00480014" w:rsidRDefault="00000000">
      <w:pPr>
        <w:spacing w:after="240"/>
        <w:jc w:val="both"/>
      </w:pPr>
      <w:r>
        <w:t>It must be noted that there are two main limitations that come with this approach. First, the Leontief model only recovers the upstream production requirements, but it does not take into account the downstream chain of events shown by the last arrow on the right in Figure 1, missing a key area of Scope 3 emissions. The Leontief inverse does not track what happens to the agricultural products afterward. The crops may be processed into packaged foods, transported across 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14:paraId="6E5B331B" w14:textId="77777777" w:rsidR="00480014" w:rsidRDefault="00000000">
      <w:pPr>
        <w:spacing w:after="240"/>
        <w:jc w:val="both"/>
      </w:pPr>
      <w:r>
        <w:t>Second, production technology is assumed to be fixed in this model, meaning the input expenditure shares and emission intensity of a given sector cannot change. In reality, sectors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the importance of this limitation is relatively minor.</w:t>
      </w:r>
    </w:p>
    <w:p w14:paraId="3BC47C75" w14:textId="77777777" w:rsidR="00480014" w:rsidRPr="00235C86" w:rsidRDefault="00000000" w:rsidP="00235C86">
      <w:pPr>
        <w:pStyle w:val="Heading1"/>
        <w:rPr>
          <w:sz w:val="28"/>
          <w:szCs w:val="28"/>
        </w:rPr>
      </w:pPr>
      <w:r w:rsidRPr="00235C86">
        <w:rPr>
          <w:sz w:val="28"/>
          <w:szCs w:val="28"/>
        </w:rPr>
        <w:t>What can this environmentally extended Leontief model tell us about the Spanish economy?</w:t>
      </w:r>
    </w:p>
    <w:p w14:paraId="7BE772D6" w14:textId="77777777" w:rsidR="00480014" w:rsidRDefault="00000000">
      <w:pPr>
        <w:spacing w:before="240" w:after="240"/>
        <w:jc w:val="both"/>
      </w:pPr>
      <w:r>
        <w:t>First, we show Gross Value Added and employment by sector to give a sense of each sector’s size. The results show that the Spanish economy concentrates most of its gross value-added in services related to tourism, wholesale and retail trade, alongside public services such as health care and education.</w:t>
      </w:r>
    </w:p>
    <w:p w14:paraId="792D6FE1" w14:textId="77777777" w:rsidR="00480014" w:rsidRDefault="00000000">
      <w:pPr>
        <w:spacing w:before="240" w:after="240"/>
        <w:jc w:val="both"/>
      </w:pPr>
      <w:r>
        <w:t>Second, we present total emissions by scope, as well as emission intensity by scope for each sector. The former measure somewhat changes the ranking implied by gross value added: sectors such as petroleum refining, electricity generation from gas, and cattle farming now move to the top.</w:t>
      </w:r>
    </w:p>
    <w:p w14:paraId="5F29F98E" w14:textId="77777777" w:rsidR="00480014" w:rsidRDefault="00000000">
      <w:pPr>
        <w:spacing w:before="240" w:after="240"/>
        <w:jc w:val="both"/>
      </w:pPr>
      <w:r>
        <w:lastRenderedPageBreak/>
        <w:t>However, to make a fair comparison that allows us to trace vulnerability to climate policy stringency across sectors, emission intensity provides a clearer picture, as it avoids portraying large sectors that rely on relatively clean production processes as “dirty” simply because they produce more. The emission-intensity ranking gives a more accurate and familiar picture of the traditional drivers of climate change: fossil-fuel electricity production and extraction, cattle farming, meat processing, and some manufacturing sectors dominate the list.</w:t>
      </w:r>
    </w:p>
    <w:p w14:paraId="6857AF4D" w14:textId="77777777" w:rsidR="00480014" w:rsidRDefault="00000000">
      <w:pPr>
        <w:spacing w:before="240" w:after="240"/>
        <w:jc w:val="both"/>
        <w:rPr>
          <w:highlight w:val="yellow"/>
        </w:rPr>
      </w:pPr>
      <w:r>
        <w:rPr>
          <w:highlight w:val="yellow"/>
        </w:rPr>
        <w:t>Note that ignoring Scope 2 and Scope 3 emissions can lead to a misleading representation of each sector’s vulnerability to climate policy stringency. For example, the cattle-meat processing sector appears to have low Scope 1 emissions, but once we account for Scope 2 and Scope 3 emissions, it becomes one of the dirtiest economic activities in the Spanish economy, surpassed only by energy- and manufacturing-related activities.</w:t>
      </w:r>
    </w:p>
    <w:p w14:paraId="06ECFA56" w14:textId="77777777" w:rsidR="00480014" w:rsidRDefault="00000000">
      <w:pPr>
        <w:spacing w:before="240" w:after="240"/>
        <w:jc w:val="both"/>
      </w:pPr>
      <w:r>
        <w:t xml:space="preserve">Also, now that we know the value added and emissions we can perform a back-of-the-envelope calculation by multiplying the emissions by the Social Cost of Carbon (the damage produced by emissions).  </w:t>
      </w:r>
    </w:p>
    <w:p w14:paraId="4C4C7528" w14:textId="77777777" w:rsidR="00480014" w:rsidRDefault="00000000">
      <w:pPr>
        <w:spacing w:before="240" w:after="240"/>
        <w:jc w:val="both"/>
      </w:pPr>
      <w:r>
        <w:t xml:space="preserve">Lastly, we provide an interactive tool so that you can visualize emissions by scope traced to each supplying sector, for each sector. We also distinguish between imported and domestic supplies, which highlights the interconnectedness of supply chains across countries, an important aspect when considering exposure to foreign climate policy and carbon leakage across supply chains. </w:t>
      </w:r>
    </w:p>
    <w:p w14:paraId="2C37570D" w14:textId="77777777" w:rsidR="00480014" w:rsidRDefault="00000000">
      <w:pPr>
        <w:spacing w:before="240" w:after="240"/>
        <w:jc w:val="both"/>
      </w:pPr>
      <w:r>
        <w:t>[es_dashboard_tabs.html]</w:t>
      </w:r>
    </w:p>
    <w:p w14:paraId="62134731" w14:textId="77777777" w:rsidR="00480014" w:rsidRDefault="00000000">
      <w:pPr>
        <w:jc w:val="both"/>
      </w:pPr>
      <w:r>
        <w:t>For now, we go back to a fairer comparison across sectors: the emissions intensity tab in our dashboard. This section ranks sectors by emissions per euro of output. In 2022, Petroleum refinery, construction, and manufacture of gas are the top emitter sectors of the economy. However, when looking at emission intensities by sector, electricity by coal and petroleum, and cattle farming comes as the top three industries, emitting about 28kg, 14kg and 13kg of CO2e per EUR of output. If we take into account the social cost of carbon (185 EUR per ton, ie, 0.185 EUR per kg), these sectors are producing more harm than benefits (5.85 EUR of externalities per 1 EUR of production).</w:t>
      </w:r>
    </w:p>
    <w:p w14:paraId="189F08DB" w14:textId="77777777" w:rsidR="00480014" w:rsidRDefault="00480014">
      <w:pPr>
        <w:jc w:val="both"/>
      </w:pPr>
    </w:p>
    <w:p w14:paraId="28237C2C" w14:textId="77777777" w:rsidR="00480014" w:rsidRDefault="00000000">
      <w:pPr>
        <w:jc w:val="both"/>
      </w:pPr>
      <w:r>
        <w:t>In principle, the same logic lets us compute an “implied climate damage” for every industry and see where external costs are likely to dwarf market value. But this is strictly back-of-the-envelope. The social cost of carbon is uncertain and sensitive to assumptions. Emissions intensities depend on accounting boundaries and on the input-output structure, and our Scope 3 coverage is incomplete. Output measured in euros is not a welfare metric, and this calculation ignores benefits, distributional effects, abatement options, and other externalities beyond CO2e. Used properly, it is a screening tool to flag hotspots, not a definitive cost-benefit statement.</w:t>
      </w:r>
    </w:p>
    <w:p w14:paraId="745F69D1" w14:textId="77777777" w:rsidR="00480014" w:rsidRDefault="00480014">
      <w:pPr>
        <w:jc w:val="both"/>
      </w:pPr>
    </w:p>
    <w:p w14:paraId="0B6B5BDC" w14:textId="1E1F0F6B" w:rsidR="00480014" w:rsidRPr="00807619" w:rsidRDefault="00807619" w:rsidP="00807619">
      <w:r w:rsidRPr="00807619">
        <w:t>[ES_SCC_DAMAGE_INTERACTIVE_GVA_XCAP]</w:t>
      </w:r>
    </w:p>
    <w:p w14:paraId="30AFADD0" w14:textId="77777777" w:rsidR="00480014" w:rsidRDefault="00480014">
      <w:pPr>
        <w:jc w:val="both"/>
      </w:pPr>
    </w:p>
    <w:p w14:paraId="5EABC274" w14:textId="77777777" w:rsidR="00480014" w:rsidRPr="00235C86" w:rsidRDefault="00000000" w:rsidP="00235C86">
      <w:pPr>
        <w:pStyle w:val="Heading1"/>
        <w:rPr>
          <w:sz w:val="28"/>
          <w:szCs w:val="28"/>
        </w:rPr>
      </w:pPr>
      <w:r w:rsidRPr="00235C86">
        <w:rPr>
          <w:sz w:val="28"/>
          <w:szCs w:val="28"/>
        </w:rPr>
        <w:lastRenderedPageBreak/>
        <w:t>Interactive tool</w:t>
      </w:r>
    </w:p>
    <w:p w14:paraId="7E4FB753" w14:textId="77777777" w:rsidR="00480014" w:rsidRDefault="00480014">
      <w:pPr>
        <w:jc w:val="both"/>
      </w:pPr>
    </w:p>
    <w:p w14:paraId="5338ED87" w14:textId="77777777" w:rsidR="00480014" w:rsidRDefault="00000000">
      <w:pPr>
        <w:jc w:val="both"/>
      </w:pPr>
      <w:r>
        <w:t>[scope1_center_2d_with_year_slider.html]</w:t>
      </w:r>
    </w:p>
    <w:sectPr w:rsidR="0048001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aibhav Jain" w:date="2026-02-09T21:29:00Z" w:initials="">
    <w:p w14:paraId="6D4345D3"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bullshit</w:t>
      </w:r>
    </w:p>
  </w:comment>
  <w:comment w:id="0" w:author="Juan Acuña-Román" w:date="2026-02-09T21:37:00Z" w:initials="">
    <w:p w14:paraId="48DAA97C"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He is stealing my knowledge,</w:t>
      </w:r>
    </w:p>
    <w:p w14:paraId="07A4E160" w14:textId="77777777" w:rsidR="00480014" w:rsidRDefault="00000000">
      <w:pPr>
        <w:widowControl w:val="0"/>
        <w:pBdr>
          <w:top w:val="nil"/>
          <w:left w:val="nil"/>
          <w:bottom w:val="nil"/>
          <w:right w:val="nil"/>
          <w:between w:val="nil"/>
        </w:pBdr>
        <w:spacing w:line="240" w:lineRule="auto"/>
        <w:rPr>
          <w:color w:val="000000"/>
        </w:rPr>
      </w:pPr>
      <w:r>
        <w:rPr>
          <w:color w:val="000000"/>
        </w:rPr>
        <w:t>1 total reaction</w:t>
      </w:r>
    </w:p>
    <w:p w14:paraId="5B66E5DB" w14:textId="77777777" w:rsidR="00480014" w:rsidRDefault="00000000">
      <w:pPr>
        <w:widowControl w:val="0"/>
        <w:pBdr>
          <w:top w:val="nil"/>
          <w:left w:val="nil"/>
          <w:bottom w:val="nil"/>
          <w:right w:val="nil"/>
          <w:between w:val="nil"/>
        </w:pBdr>
        <w:spacing w:line="240" w:lineRule="auto"/>
        <w:rPr>
          <w:color w:val="000000"/>
        </w:rPr>
      </w:pPr>
      <w:r>
        <w:rPr>
          <w:color w:val="000000"/>
        </w:rPr>
        <w:t>Vaibhav Jain reacted with 😂 at 2026-02-09 21:39 PM</w:t>
      </w:r>
    </w:p>
  </w:comment>
  <w:comment w:id="2" w:author="Vaibhav Jain" w:date="2026-02-09T21:31:00Z" w:initials="">
    <w:p w14:paraId="158CF56D"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would find a way to rephrase the much overused much here</w:t>
      </w:r>
    </w:p>
  </w:comment>
  <w:comment w:id="3" w:author="Vaibhav Jain" w:date="2026-02-09T21:43:00Z" w:initials="">
    <w:p w14:paraId="5BB01B88" w14:textId="77777777" w:rsidR="00480014" w:rsidRPr="00B910CD" w:rsidRDefault="004A2B3F">
      <w:pPr>
        <w:widowControl w:val="0"/>
        <w:pBdr>
          <w:top w:val="nil"/>
          <w:left w:val="nil"/>
          <w:bottom w:val="nil"/>
          <w:right w:val="nil"/>
          <w:between w:val="nil"/>
        </w:pBdr>
        <w:spacing w:line="240" w:lineRule="auto"/>
        <w:rPr>
          <w:color w:val="000000"/>
          <w:lang w:val="es-US"/>
        </w:rPr>
      </w:pPr>
      <w:r>
        <w:rPr>
          <w:rStyle w:val="CommentReference"/>
        </w:rPr>
        <w:annotationRef/>
      </w:r>
      <w:r w:rsidRPr="00B910CD">
        <w:rPr>
          <w:color w:val="000000"/>
          <w:lang w:val="es-US"/>
        </w:rPr>
        <w:t>link?</w:t>
      </w:r>
    </w:p>
  </w:comment>
  <w:comment w:id="5" w:author="Lucien Antonio Vargas Giagnocavo" w:date="2026-02-09T17:16:00Z" w:initials="">
    <w:p w14:paraId="0E1D0E72" w14:textId="77777777" w:rsidR="00480014" w:rsidRPr="00B910CD" w:rsidRDefault="004A2B3F">
      <w:pPr>
        <w:widowControl w:val="0"/>
        <w:pBdr>
          <w:top w:val="nil"/>
          <w:left w:val="nil"/>
          <w:bottom w:val="nil"/>
          <w:right w:val="nil"/>
          <w:between w:val="nil"/>
        </w:pBdr>
        <w:spacing w:line="240" w:lineRule="auto"/>
        <w:rPr>
          <w:color w:val="000000"/>
          <w:lang w:val="es-US"/>
        </w:rPr>
      </w:pPr>
      <w:r>
        <w:rPr>
          <w:rStyle w:val="CommentReference"/>
        </w:rPr>
        <w:annotationRef/>
      </w:r>
      <w:r w:rsidRPr="00B910CD">
        <w:rPr>
          <w:color w:val="000000"/>
          <w:lang w:val="es-US"/>
        </w:rPr>
        <w:t>Aqui pondría un link al final de la página mostrando el simple algebra del Leontief model</w:t>
      </w:r>
    </w:p>
  </w:comment>
  <w:comment w:id="4" w:author="Vaibhav Jain" w:date="2026-02-09T21:44:00Z" w:initials="">
    <w:p w14:paraId="0BBFDD52"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hablar english please</w:t>
      </w:r>
    </w:p>
  </w:comment>
  <w:comment w:id="6" w:author="Juan Acuña-Román" w:date="2026-02-09T21:40:00Z" w:initials="">
    <w:p w14:paraId="5A9A4537"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on monetary terms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4345D3" w15:done="0"/>
  <w15:commentEx w15:paraId="5B66E5DB" w15:done="0"/>
  <w15:commentEx w15:paraId="158CF56D" w15:done="0"/>
  <w15:commentEx w15:paraId="5BB01B88" w15:done="0"/>
  <w15:commentEx w15:paraId="0E1D0E72" w15:done="0"/>
  <w15:commentEx w15:paraId="0BBFDD52" w15:done="0"/>
  <w15:commentEx w15:paraId="5A9A4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4345D3" w16cid:durableId="7B4E99DD"/>
  <w16cid:commentId w16cid:paraId="5B66E5DB" w16cid:durableId="38207527"/>
  <w16cid:commentId w16cid:paraId="158CF56D" w16cid:durableId="048117E0"/>
  <w16cid:commentId w16cid:paraId="5BB01B88" w16cid:durableId="36B146F3"/>
  <w16cid:commentId w16cid:paraId="0E1D0E72" w16cid:durableId="563744A7"/>
  <w16cid:commentId w16cid:paraId="0BBFDD52" w16cid:durableId="15D18768"/>
  <w16cid:commentId w16cid:paraId="5A9A4537" w16cid:durableId="41D19CF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84C32EFC-1EDB-4DA1-819A-F7182D9C4D38}"/>
    <w:embedItalic r:id="rId2" w:fontKey="{4C3A34D7-B6E3-45AA-9000-8FA14CF78A12}"/>
  </w:font>
  <w:font w:name="Roboto">
    <w:charset w:val="00"/>
    <w:family w:val="auto"/>
    <w:pitch w:val="variable"/>
    <w:sig w:usb0="E0000AFF" w:usb1="5000217F" w:usb2="00000021" w:usb3="00000000" w:csb0="0000019F" w:csb1="00000000"/>
    <w:embedRegular r:id="rId3" w:fontKey="{FF82BF58-6101-4028-B1EE-9F7B70E62F8C}"/>
  </w:font>
  <w:font w:name="Calibri">
    <w:panose1 w:val="020F0502020204030204"/>
    <w:charset w:val="00"/>
    <w:family w:val="swiss"/>
    <w:pitch w:val="variable"/>
    <w:sig w:usb0="E4002EFF" w:usb1="C200247B" w:usb2="00000009" w:usb3="00000000" w:csb0="000001FF" w:csb1="00000000"/>
    <w:embedRegular r:id="rId4" w:fontKey="{0161DCDE-D147-4DAA-AB11-BF18CD1F2B04}"/>
  </w:font>
  <w:font w:name="Cambria">
    <w:panose1 w:val="02040503050406030204"/>
    <w:charset w:val="00"/>
    <w:family w:val="roman"/>
    <w:pitch w:val="variable"/>
    <w:sig w:usb0="E00006FF" w:usb1="420024FF" w:usb2="02000000" w:usb3="00000000" w:csb0="0000019F" w:csb1="00000000"/>
    <w:embedRegular r:id="rId5" w:fontKey="{BFA85BFE-B86C-497C-91D2-54317BD4BC1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014"/>
    <w:rsid w:val="0002742E"/>
    <w:rsid w:val="001E718C"/>
    <w:rsid w:val="00235C86"/>
    <w:rsid w:val="002E0C24"/>
    <w:rsid w:val="00480014"/>
    <w:rsid w:val="004A2B3F"/>
    <w:rsid w:val="00727857"/>
    <w:rsid w:val="00807619"/>
    <w:rsid w:val="00842D65"/>
    <w:rsid w:val="008D1CFB"/>
    <w:rsid w:val="009D04C2"/>
    <w:rsid w:val="00B910CD"/>
    <w:rsid w:val="00CD2FA9"/>
    <w:rsid w:val="00DB3E15"/>
    <w:rsid w:val="00EA1D6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420EC"/>
  <w15:docId w15:val="{6710423A-634C-4FE8-9B3B-8F421E4BD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3.png"/><Relationship Id="rId5" Type="http://schemas.microsoft.com/office/2011/relationships/commentsExtended" Target="commentsExtended.xml"/><Relationship Id="rId10" Type="http://schemas.openxmlformats.org/officeDocument/2006/relationships/hyperlink" Target="https://www.nobelprize.org/prizes/economic-sciences/1973/summary/" TargetMode="External"/><Relationship Id="rId4" Type="http://schemas.openxmlformats.org/officeDocument/2006/relationships/comments" Target="comments.xml"/><Relationship Id="rId9" Type="http://schemas.openxmlformats.org/officeDocument/2006/relationships/hyperlink" Target="https://www.nobelprize.org/prizes/economic-sciences/1973/summary/"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6</Pages>
  <Words>1659</Words>
  <Characters>9125</Characters>
  <Application>Microsoft Office Word</Application>
  <DocSecurity>0</DocSecurity>
  <Lines>76</Lines>
  <Paragraphs>21</Paragraphs>
  <ScaleCrop>false</ScaleCrop>
  <Company/>
  <LinksUpToDate>false</LinksUpToDate>
  <CharactersWithSpaces>10763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Acuna</cp:lastModifiedBy>
  <cp:revision>11</cp:revision>
  <dcterms:created xsi:type="dcterms:W3CDTF">2026-02-09T22:21:00Z</dcterms:created>
  <dcterms:modified xsi:type="dcterms:W3CDTF">2026-02-10T23:18:00Z</dcterms:modified>
</cp:coreProperties>
</file>