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362733" w14:textId="21A53747" w:rsidR="006614E1" w:rsidRPr="00136D56" w:rsidRDefault="00000000" w:rsidP="00136D56">
      <w:pPr>
        <w:pStyle w:val="Heading1"/>
        <w:spacing w:before="480"/>
        <w:rPr>
          <w:sz w:val="22"/>
          <w:szCs w:val="22"/>
        </w:rPr>
      </w:pPr>
      <w:r w:rsidRPr="00136D56">
        <w:rPr>
          <w:sz w:val="22"/>
          <w:szCs w:val="22"/>
        </w:rPr>
        <w:t xml:space="preserve">Climate economics is full of acronyms, scenarios, and temperature targets. This article sets out the </w:t>
      </w:r>
      <w:r w:rsidRPr="00136D56">
        <w:rPr>
          <w:b/>
          <w:bCs/>
          <w:sz w:val="22"/>
          <w:szCs w:val="22"/>
        </w:rPr>
        <w:t>minimum toolkit</w:t>
      </w:r>
      <w:r w:rsidRPr="00136D56">
        <w:rPr>
          <w:sz w:val="22"/>
          <w:szCs w:val="22"/>
        </w:rPr>
        <w:t xml:space="preserve"> needed to understand global climate policy.</w:t>
      </w:r>
    </w:p>
    <w:p w14:paraId="648A9C07" w14:textId="77777777" w:rsidR="006614E1" w:rsidRDefault="00000000">
      <w:pPr>
        <w:spacing w:before="240" w:after="240"/>
        <w:jc w:val="both"/>
      </w:pPr>
      <w:r>
        <w:t>To do this, we first explain the basic science of climate change. We then outline the international agreements that shape global climate policy, before turning to the key analytical tools economists use to translate emissions into temperature outcomes and policy choices.</w:t>
      </w:r>
    </w:p>
    <w:p w14:paraId="3490A3D7" w14:textId="77777777" w:rsidR="006614E1" w:rsidRDefault="00000000">
      <w:pPr>
        <w:spacing w:before="240" w:after="240"/>
        <w:jc w:val="both"/>
      </w:pPr>
      <w:r>
        <w:t>While there is nothing new in this article for experienced climate economists, we hope it serves as a useful guide for those hoping to read into the topic.</w:t>
      </w:r>
    </w:p>
    <w:p w14:paraId="2BEA4D24" w14:textId="77777777" w:rsidR="006614E1" w:rsidRDefault="00000000">
      <w:pPr>
        <w:pStyle w:val="Heading2"/>
        <w:rPr>
          <w:b/>
          <w:bCs/>
          <w:sz w:val="46"/>
          <w:szCs w:val="46"/>
        </w:rPr>
      </w:pPr>
      <w:bookmarkStart w:id="0" w:name="_ut0mxkjhzwmo" w:colFirst="0" w:colLast="0"/>
      <w:bookmarkEnd w:id="0"/>
      <w:r>
        <w:t>What Is Climate Change?</w:t>
      </w:r>
    </w:p>
    <w:p w14:paraId="569E3658" w14:textId="77777777" w:rsidR="006614E1" w:rsidRDefault="00000000">
      <w:pPr>
        <w:spacing w:before="240" w:after="240"/>
        <w:jc w:val="both"/>
      </w:pPr>
      <w:r>
        <w:t xml:space="preserve">While climate economics focuses on policy and economic impacts, it rests on a basic understanding of climate science. Economists do not model the climate system itself, but they rely heavily on findings </w:t>
      </w:r>
      <w:proofErr w:type="spellStart"/>
      <w:r>
        <w:t>synthesised</w:t>
      </w:r>
      <w:proofErr w:type="spellEnd"/>
      <w:r>
        <w:t xml:space="preserve"> by the Intergovernmental Panel on Climate Change (IPCC).</w:t>
      </w:r>
    </w:p>
    <w:p w14:paraId="0E97A6C3" w14:textId="77777777" w:rsidR="006614E1" w:rsidRDefault="00000000">
      <w:pPr>
        <w:spacing w:before="240" w:after="240"/>
        <w:jc w:val="both"/>
      </w:pPr>
      <w:r>
        <w:t xml:space="preserve">At its simplest, climate change refers to the </w:t>
      </w:r>
      <w:r>
        <w:rPr>
          <w:b/>
          <w:bCs/>
        </w:rPr>
        <w:t>long-term warming of the Earth’s climate system caused primarily by human emissions of greenhouse gases</w:t>
      </w:r>
      <w:r>
        <w:t>. These emissions alter the composition of the atmosphere, trapping more heat and gradually raising global temperatures.</w:t>
      </w:r>
    </w:p>
    <w:p w14:paraId="6AE543AE" w14:textId="77777777" w:rsidR="006614E1" w:rsidRDefault="00000000">
      <w:pPr>
        <w:spacing w:before="240" w:after="240"/>
        <w:jc w:val="both"/>
      </w:pPr>
      <w:r>
        <w:t xml:space="preserve">Understanding this process is essential because modern climate policy, including the Paris Agreement, is ultimately built around </w:t>
      </w:r>
      <w:r>
        <w:rPr>
          <w:b/>
          <w:bCs/>
        </w:rPr>
        <w:t>limiting the amount of warming that occurs</w:t>
      </w:r>
      <w:r>
        <w:t>.</w:t>
      </w:r>
    </w:p>
    <w:p w14:paraId="786256EE" w14:textId="77777777" w:rsidR="006614E1" w:rsidRDefault="00000000">
      <w:pPr>
        <w:pStyle w:val="Heading3"/>
        <w:keepNext w:val="0"/>
        <w:keepLines w:val="0"/>
        <w:jc w:val="both"/>
      </w:pPr>
      <w:bookmarkStart w:id="1" w:name="_5ehp7gbcji5w" w:colFirst="0" w:colLast="0"/>
      <w:bookmarkEnd w:id="1"/>
      <w:r>
        <w:t>The Greenhouse Effect</w:t>
      </w:r>
    </w:p>
    <w:p w14:paraId="6FADD7E0" w14:textId="77777777" w:rsidR="006614E1" w:rsidRDefault="00000000">
      <w:pPr>
        <w:spacing w:before="240" w:after="240"/>
        <w:jc w:val="both"/>
      </w:pPr>
      <w:r>
        <w:t>The Earth’s climate is determined by a balance between energy arriving from the Sun and energy leaving the planet back into space.</w:t>
      </w:r>
    </w:p>
    <w:p w14:paraId="7B3FB078" w14:textId="77777777" w:rsidR="006614E1" w:rsidRDefault="00000000">
      <w:pPr>
        <w:spacing w:before="240" w:after="240"/>
        <w:jc w:val="both"/>
      </w:pPr>
      <w:r>
        <w:t xml:space="preserve">Certain gases in the atmosphere absorb outgoing infrared radiation and re-emit it as heat. These </w:t>
      </w:r>
      <w:r>
        <w:rPr>
          <w:b/>
          <w:bCs/>
        </w:rPr>
        <w:t>greenhouse gases</w:t>
      </w:r>
      <w:r>
        <w:t xml:space="preserve"> therefore act as a blanket around the planet, trapping energy within the climate system.</w:t>
      </w:r>
      <w:r>
        <w:rPr>
          <w:vertAlign w:val="superscript"/>
        </w:rPr>
        <w:footnoteReference w:id="1"/>
      </w:r>
      <w:r>
        <w:t xml:space="preserve"> This phenomenon is known as the </w:t>
      </w:r>
      <w:r>
        <w:rPr>
          <w:b/>
          <w:bCs/>
        </w:rPr>
        <w:t>greenhouse effect</w:t>
      </w:r>
      <w:r>
        <w:t>.</w:t>
      </w:r>
    </w:p>
    <w:p w14:paraId="5561F4C9" w14:textId="77777777" w:rsidR="006614E1" w:rsidRDefault="00000000">
      <w:pPr>
        <w:spacing w:before="240" w:after="240"/>
        <w:jc w:val="both"/>
      </w:pPr>
      <w:r>
        <w:t>Without this natural greenhouse effect, the Earth’s surface would be far colder and life as we know it would not exist. The problem arises when human activity increases the concentration of these gases, strengthening the effect and raising global temperatures.</w:t>
      </w:r>
    </w:p>
    <w:p w14:paraId="29F8B357" w14:textId="77777777" w:rsidR="006614E1" w:rsidRDefault="00000000">
      <w:pPr>
        <w:spacing w:before="240" w:after="240"/>
        <w:jc w:val="both"/>
      </w:pPr>
      <w:r>
        <w:t>The most important greenhouse gases include:</w:t>
      </w:r>
    </w:p>
    <w:p w14:paraId="4504CECC" w14:textId="77777777" w:rsidR="006614E1" w:rsidRDefault="00000000">
      <w:pPr>
        <w:numPr>
          <w:ilvl w:val="0"/>
          <w:numId w:val="3"/>
        </w:numPr>
        <w:spacing w:before="240" w:after="200"/>
      </w:pPr>
      <w:r>
        <w:rPr>
          <w:b/>
          <w:bCs/>
        </w:rPr>
        <w:lastRenderedPageBreak/>
        <w:t>Carbon dioxide (CO₂)</w:t>
      </w:r>
      <w:r>
        <w:t xml:space="preserve"> – produced primarily by burning fossil fuels, cement production, and deforestation.</w:t>
      </w:r>
    </w:p>
    <w:p w14:paraId="647E38CE" w14:textId="77777777" w:rsidR="006614E1" w:rsidRDefault="00000000">
      <w:pPr>
        <w:numPr>
          <w:ilvl w:val="0"/>
          <w:numId w:val="3"/>
        </w:numPr>
        <w:spacing w:after="200"/>
      </w:pPr>
      <w:r>
        <w:rPr>
          <w:b/>
          <w:bCs/>
        </w:rPr>
        <w:t>Methane (CH₄)</w:t>
      </w:r>
      <w:r>
        <w:t xml:space="preserve"> – released from agriculture, waste, and fossil fuel extraction.</w:t>
      </w:r>
    </w:p>
    <w:p w14:paraId="595628BA" w14:textId="77777777" w:rsidR="006614E1" w:rsidRDefault="00000000">
      <w:pPr>
        <w:numPr>
          <w:ilvl w:val="0"/>
          <w:numId w:val="3"/>
        </w:numPr>
        <w:spacing w:after="200"/>
      </w:pPr>
      <w:r>
        <w:rPr>
          <w:b/>
          <w:bCs/>
        </w:rPr>
        <w:t>Nitrous oxide (N₂O)</w:t>
      </w:r>
      <w:r>
        <w:t xml:space="preserve"> – largely associated with </w:t>
      </w:r>
      <w:proofErr w:type="spellStart"/>
      <w:r>
        <w:t>fertiliser</w:t>
      </w:r>
      <w:proofErr w:type="spellEnd"/>
      <w:r>
        <w:t xml:space="preserve"> use and industrial processes.</w:t>
      </w:r>
    </w:p>
    <w:p w14:paraId="59654501" w14:textId="77777777" w:rsidR="006614E1" w:rsidRDefault="00000000">
      <w:pPr>
        <w:numPr>
          <w:ilvl w:val="0"/>
          <w:numId w:val="3"/>
        </w:numPr>
        <w:spacing w:before="240" w:after="200"/>
      </w:pPr>
      <w:r>
        <w:rPr>
          <w:b/>
          <w:bCs/>
        </w:rPr>
        <w:t>Fluorinated gases</w:t>
      </w:r>
      <w:r>
        <w:t xml:space="preserve"> – synthetic gases used in refrigeration and industrial applications.</w:t>
      </w:r>
    </w:p>
    <w:p w14:paraId="1D15249C" w14:textId="77777777" w:rsidR="006614E1" w:rsidRDefault="00000000">
      <w:pPr>
        <w:spacing w:before="240" w:after="240"/>
        <w:jc w:val="both"/>
      </w:pPr>
      <w:r>
        <w:t xml:space="preserve">Although several gases contribute to warming, </w:t>
      </w:r>
      <w:r>
        <w:rPr>
          <w:b/>
          <w:bCs/>
        </w:rPr>
        <w:t>carbon dioxide is by far the most important driver of long-term climate change</w:t>
      </w:r>
      <w:r>
        <w:t>, because of both the large volumes emitted and the fact that a portion of CO₂ remains in the atmosphere for centuries.</w:t>
      </w:r>
    </w:p>
    <w:p w14:paraId="4F2A4811" w14:textId="77777777" w:rsidR="006614E1" w:rsidRDefault="00000000">
      <w:pPr>
        <w:pStyle w:val="Heading3"/>
        <w:keepNext w:val="0"/>
        <w:keepLines w:val="0"/>
        <w:jc w:val="both"/>
      </w:pPr>
      <w:bookmarkStart w:id="2" w:name="_pcgq33iagcdh" w:colFirst="0" w:colLast="0"/>
      <w:bookmarkEnd w:id="2"/>
      <w:r>
        <w:t>Rising CO₂ Concentrations</w:t>
      </w:r>
    </w:p>
    <w:p w14:paraId="241B9463" w14:textId="77777777" w:rsidR="006614E1" w:rsidRDefault="00000000">
      <w:pPr>
        <w:spacing w:before="240" w:after="240"/>
        <w:jc w:val="both"/>
      </w:pPr>
      <w:r>
        <w:t>The most direct physical indicator of human influence on the climate system is the rapid increase in atmospheric carbon dioxide.</w:t>
      </w:r>
    </w:p>
    <w:p w14:paraId="51185622" w14:textId="77777777" w:rsidR="006614E1" w:rsidRDefault="00000000">
      <w:pPr>
        <w:spacing w:before="240" w:after="240"/>
        <w:jc w:val="both"/>
        <w:rPr>
          <w:b/>
          <w:bCs/>
        </w:rPr>
      </w:pPr>
      <w:r>
        <w:t xml:space="preserve">Before the industrial revolution, atmospheric CO₂ concentrations were roughly </w:t>
      </w:r>
      <w:r>
        <w:rPr>
          <w:b/>
          <w:bCs/>
        </w:rPr>
        <w:t>280 parts per million (ppm)</w:t>
      </w:r>
      <w:r>
        <w:t xml:space="preserve">. Today they exceed </w:t>
      </w:r>
      <w:r>
        <w:rPr>
          <w:b/>
          <w:bCs/>
        </w:rPr>
        <w:t>420 ppm</w:t>
      </w:r>
      <w:r>
        <w:t>, the highest level in millions of years.</w:t>
      </w:r>
    </w:p>
    <w:p w14:paraId="2DAD2AB9" w14:textId="77777777" w:rsidR="006614E1" w:rsidRDefault="00000000">
      <w:pPr>
        <w:spacing w:before="240" w:after="240"/>
        <w:jc w:val="both"/>
        <w:rPr>
          <w:i/>
          <w:iCs/>
        </w:rPr>
      </w:pPr>
      <w:r>
        <w:rPr>
          <w:i/>
          <w:iCs/>
          <w:noProof/>
        </w:rPr>
        <w:lastRenderedPageBreak/>
        <w:drawing>
          <wp:inline distT="114300" distB="114300" distL="114300" distR="114300" wp14:anchorId="224935DC" wp14:editId="6DA3F8E8">
            <wp:extent cx="5943600" cy="494030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943600" cy="4940300"/>
                    </a:xfrm>
                    <a:prstGeom prst="rect">
                      <a:avLst/>
                    </a:prstGeom>
                    <a:ln/>
                  </pic:spPr>
                </pic:pic>
              </a:graphicData>
            </a:graphic>
          </wp:inline>
        </w:drawing>
      </w:r>
    </w:p>
    <w:p w14:paraId="674CC2E9" w14:textId="77777777" w:rsidR="006614E1" w:rsidRDefault="00000000">
      <w:pPr>
        <w:spacing w:before="240" w:after="240"/>
        <w:jc w:val="both"/>
      </w:pPr>
      <w:r>
        <w:t xml:space="preserve">This increase closely follows the growth of fossil fuel use, industrial production, and global energy consumption since the nineteenth century. The rise accelerated particularly after the mid-twentieth century during what economists sometimes call the </w:t>
      </w:r>
      <w:r>
        <w:rPr>
          <w:b/>
          <w:bCs/>
        </w:rPr>
        <w:t>Great Acceleration</w:t>
      </w:r>
      <w:r>
        <w:t xml:space="preserve"> (a period of rapid economic expansion, population growth, and </w:t>
      </w:r>
      <w:proofErr w:type="spellStart"/>
      <w:r>
        <w:t>industrialisation</w:t>
      </w:r>
      <w:proofErr w:type="spellEnd"/>
      <w:r>
        <w:t>).</w:t>
      </w:r>
    </w:p>
    <w:p w14:paraId="06DE5E55" w14:textId="77777777" w:rsidR="006614E1" w:rsidRDefault="00000000">
      <w:pPr>
        <w:spacing w:before="240" w:after="240"/>
        <w:jc w:val="both"/>
      </w:pPr>
      <w:r>
        <w:t>The scale of this change is unprecedented in human history. Ice core records suggest that atmospheric CO₂ levels remained relatively stable for thousands of years before the industrial era.</w:t>
      </w:r>
    </w:p>
    <w:p w14:paraId="1BD595C2" w14:textId="77777777" w:rsidR="006614E1" w:rsidRDefault="00000000">
      <w:pPr>
        <w:pStyle w:val="Heading3"/>
        <w:keepNext w:val="0"/>
        <w:keepLines w:val="0"/>
        <w:jc w:val="both"/>
      </w:pPr>
      <w:bookmarkStart w:id="3" w:name="_8dvxazwzgvk5" w:colFirst="0" w:colLast="0"/>
      <w:bookmarkEnd w:id="3"/>
      <w:r>
        <w:t>Rising Global Temperatures</w:t>
      </w:r>
    </w:p>
    <w:p w14:paraId="6BDEF3C3" w14:textId="77777777" w:rsidR="006614E1" w:rsidRDefault="00000000">
      <w:pPr>
        <w:spacing w:before="240" w:after="240"/>
        <w:jc w:val="both"/>
      </w:pPr>
      <w:r>
        <w:t xml:space="preserve">As greenhouse gas concentrations increase, more heat is retained within the climate system. The most widely used indicator of this is the </w:t>
      </w:r>
      <w:r>
        <w:rPr>
          <w:b/>
          <w:bCs/>
        </w:rPr>
        <w:t>global average surface temperature</w:t>
      </w:r>
      <w:r>
        <w:t>.</w:t>
      </w:r>
    </w:p>
    <w:p w14:paraId="633A7A32" w14:textId="77777777" w:rsidR="006614E1" w:rsidRDefault="00000000">
      <w:pPr>
        <w:spacing w:before="240" w:after="240"/>
        <w:jc w:val="both"/>
      </w:pPr>
      <w:r>
        <w:t xml:space="preserve">Relative to the late nineteenth century, which is commonly used as a proxy for pre-industrial conditions, global temperatures have already increased by around </w:t>
      </w:r>
      <w:r>
        <w:rPr>
          <w:b/>
          <w:bCs/>
        </w:rPr>
        <w:t>1.2°C</w:t>
      </w:r>
      <w:r>
        <w:t>.</w:t>
      </w:r>
    </w:p>
    <w:p w14:paraId="556EC1D4" w14:textId="77777777" w:rsidR="006614E1" w:rsidRDefault="00000000">
      <w:pPr>
        <w:spacing w:before="240" w:after="240"/>
        <w:jc w:val="both"/>
        <w:rPr>
          <w:i/>
          <w:iCs/>
        </w:rPr>
      </w:pPr>
      <w:r>
        <w:rPr>
          <w:b/>
          <w:bCs/>
          <w:noProof/>
        </w:rPr>
        <w:lastRenderedPageBreak/>
        <w:drawing>
          <wp:inline distT="114300" distB="114300" distL="114300" distR="114300" wp14:anchorId="4690E121" wp14:editId="3F198AC7">
            <wp:extent cx="5943600" cy="3098800"/>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5943600" cy="3098800"/>
                    </a:xfrm>
                    <a:prstGeom prst="rect">
                      <a:avLst/>
                    </a:prstGeom>
                    <a:ln/>
                  </pic:spPr>
                </pic:pic>
              </a:graphicData>
            </a:graphic>
          </wp:inline>
        </w:drawing>
      </w:r>
    </w:p>
    <w:p w14:paraId="150ED0EA" w14:textId="77777777" w:rsidR="006614E1" w:rsidRDefault="00000000">
      <w:pPr>
        <w:spacing w:before="240" w:after="240"/>
        <w:jc w:val="both"/>
      </w:pPr>
      <w:r>
        <w:t xml:space="preserve">Year-to-year temperatures fluctuate because of natural variability such as volcanic eruptions or ocean cycles like El Niño. However, the long-run trend is clear: </w:t>
      </w:r>
      <w:r>
        <w:rPr>
          <w:b/>
          <w:bCs/>
        </w:rPr>
        <w:t>the warmest years on record have all occurred in the past decade</w:t>
      </w:r>
      <w:r>
        <w:t>.</w:t>
      </w:r>
    </w:p>
    <w:p w14:paraId="74714DE3" w14:textId="77777777" w:rsidR="006614E1" w:rsidRDefault="00000000">
      <w:pPr>
        <w:spacing w:before="240" w:after="240"/>
        <w:jc w:val="both"/>
      </w:pPr>
      <w:r>
        <w:t>Climate science therefore concludes that most of the warming observed since the mid-twentieth century is attributable to human activity.</w:t>
      </w:r>
    </w:p>
    <w:p w14:paraId="39C5F61A" w14:textId="77777777" w:rsidR="006614E1" w:rsidRDefault="00000000">
      <w:pPr>
        <w:pStyle w:val="Heading3"/>
        <w:keepNext w:val="0"/>
        <w:keepLines w:val="0"/>
        <w:jc w:val="both"/>
      </w:pPr>
      <w:bookmarkStart w:id="4" w:name="_fgt4vn26vsuq" w:colFirst="0" w:colLast="0"/>
      <w:bookmarkEnd w:id="4"/>
      <w:r>
        <w:t>Why Temperature Matters</w:t>
      </w:r>
    </w:p>
    <w:p w14:paraId="7A7F07DA" w14:textId="77777777" w:rsidR="006614E1" w:rsidRDefault="00000000">
      <w:pPr>
        <w:spacing w:before="240" w:after="240"/>
        <w:jc w:val="both"/>
      </w:pPr>
      <w:r>
        <w:t xml:space="preserve">In climate science and climate economics, </w:t>
      </w:r>
      <w:r>
        <w:rPr>
          <w:b/>
          <w:bCs/>
        </w:rPr>
        <w:t>global mean temperature</w:t>
      </w:r>
      <w:r>
        <w:t xml:space="preserve"> is often used as a summary indicator of the state of the climate system.</w:t>
      </w:r>
    </w:p>
    <w:p w14:paraId="765D302D" w14:textId="77777777" w:rsidR="006614E1" w:rsidRDefault="00000000">
      <w:pPr>
        <w:spacing w:before="240" w:after="240"/>
        <w:jc w:val="both"/>
      </w:pPr>
      <w:r>
        <w:t>This is not because temperature is the only relevant variable, but because it serves as a useful proxy for a wide range of physical impacts. As temperatures rise, the probability and severity of many climate-related risks increase. These include:</w:t>
      </w:r>
    </w:p>
    <w:p w14:paraId="700E2375" w14:textId="77777777" w:rsidR="006614E1" w:rsidRDefault="00000000">
      <w:pPr>
        <w:numPr>
          <w:ilvl w:val="0"/>
          <w:numId w:val="6"/>
        </w:numPr>
        <w:spacing w:before="240" w:after="200"/>
      </w:pPr>
      <w:r>
        <w:t xml:space="preserve">More frequent and intense </w:t>
      </w:r>
      <w:r>
        <w:rPr>
          <w:b/>
          <w:bCs/>
        </w:rPr>
        <w:t>heatwaves</w:t>
      </w:r>
      <w:r>
        <w:t>.</w:t>
      </w:r>
    </w:p>
    <w:p w14:paraId="69733C1C" w14:textId="77777777" w:rsidR="006614E1" w:rsidRDefault="00000000">
      <w:pPr>
        <w:numPr>
          <w:ilvl w:val="0"/>
          <w:numId w:val="6"/>
        </w:numPr>
        <w:spacing w:after="200"/>
      </w:pPr>
      <w:r>
        <w:t xml:space="preserve">Changes in </w:t>
      </w:r>
      <w:r>
        <w:rPr>
          <w:b/>
          <w:bCs/>
        </w:rPr>
        <w:t>precipitation patterns</w:t>
      </w:r>
      <w:r>
        <w:t>, including droughts and floods.</w:t>
      </w:r>
    </w:p>
    <w:p w14:paraId="04D5DAB6" w14:textId="77777777" w:rsidR="006614E1" w:rsidRDefault="00000000">
      <w:pPr>
        <w:numPr>
          <w:ilvl w:val="0"/>
          <w:numId w:val="6"/>
        </w:numPr>
        <w:spacing w:after="200"/>
      </w:pPr>
      <w:r>
        <w:t xml:space="preserve">Rising </w:t>
      </w:r>
      <w:r>
        <w:rPr>
          <w:b/>
          <w:bCs/>
        </w:rPr>
        <w:t>sea levels</w:t>
      </w:r>
      <w:r>
        <w:t xml:space="preserve"> due to thermal expansion and melting ice sheets.</w:t>
      </w:r>
    </w:p>
    <w:p w14:paraId="1B34381C" w14:textId="77777777" w:rsidR="006614E1" w:rsidRDefault="00000000">
      <w:pPr>
        <w:numPr>
          <w:ilvl w:val="0"/>
          <w:numId w:val="6"/>
        </w:numPr>
        <w:spacing w:after="200"/>
      </w:pPr>
      <w:r>
        <w:t>Disruptions to ecosystems, agriculture, and biodiversity.</w:t>
      </w:r>
    </w:p>
    <w:p w14:paraId="3D59424B" w14:textId="77777777" w:rsidR="006614E1" w:rsidRDefault="00000000">
      <w:pPr>
        <w:numPr>
          <w:ilvl w:val="0"/>
          <w:numId w:val="6"/>
        </w:numPr>
        <w:spacing w:before="240" w:after="200"/>
      </w:pPr>
      <w:r>
        <w:t xml:space="preserve">Increased risks to human health and </w:t>
      </w:r>
      <w:proofErr w:type="spellStart"/>
      <w:r>
        <w:t>labour</w:t>
      </w:r>
      <w:proofErr w:type="spellEnd"/>
      <w:r>
        <w:t xml:space="preserve"> productivity.</w:t>
      </w:r>
    </w:p>
    <w:p w14:paraId="245112F6" w14:textId="77777777" w:rsidR="006614E1" w:rsidRDefault="00000000">
      <w:pPr>
        <w:spacing w:before="240" w:after="240"/>
        <w:jc w:val="both"/>
      </w:pPr>
      <w:r>
        <w:t xml:space="preserve">Climate change also affects economies and societies in </w:t>
      </w:r>
      <w:proofErr w:type="gramStart"/>
      <w:r>
        <w:t>many different ways</w:t>
      </w:r>
      <w:proofErr w:type="gramEnd"/>
      <w:r>
        <w:t xml:space="preserve">. These include direct damages to infrastructure from extreme weather, changes in agricultural productivity, impacts on </w:t>
      </w:r>
      <w:r>
        <w:lastRenderedPageBreak/>
        <w:t>health and mortality,</w:t>
      </w:r>
      <w:r>
        <w:rPr>
          <w:vertAlign w:val="superscript"/>
        </w:rPr>
        <w:footnoteReference w:id="2"/>
      </w:r>
      <w:r>
        <w:t xml:space="preserve"> and broader disruptions to ecosystems and economic activity. Some of these impacts can be measured using market prices, while others such as biodiversity loss or ecosystem degradation are far harder to quantify.</w:t>
      </w:r>
    </w:p>
    <w:p w14:paraId="5551276E" w14:textId="77777777" w:rsidR="006614E1" w:rsidRDefault="00000000">
      <w:pPr>
        <w:spacing w:before="240" w:after="240"/>
        <w:jc w:val="both"/>
      </w:pPr>
      <w:r>
        <w:t xml:space="preserve">Because of this complexity, economists often </w:t>
      </w:r>
      <w:proofErr w:type="spellStart"/>
      <w:r>
        <w:t>summarise</w:t>
      </w:r>
      <w:proofErr w:type="spellEnd"/>
      <w:r>
        <w:t xml:space="preserve"> climate change using </w:t>
      </w:r>
      <w:r>
        <w:rPr>
          <w:b/>
          <w:bCs/>
        </w:rPr>
        <w:t>damage functions</w:t>
      </w:r>
      <w:r>
        <w:t>, which relate global temperature increases to economic losses as a share of output. While imperfect, this approach allows climate impacts to be incorporated into economic models and policy analysis.</w:t>
      </w:r>
    </w:p>
    <w:p w14:paraId="25628C6A" w14:textId="77777777" w:rsidR="006614E1" w:rsidRDefault="00000000">
      <w:pPr>
        <w:pStyle w:val="Heading3"/>
        <w:keepNext w:val="0"/>
        <w:keepLines w:val="0"/>
        <w:jc w:val="both"/>
      </w:pPr>
      <w:bookmarkStart w:id="5" w:name="_amlbudatz9f3" w:colFirst="0" w:colLast="0"/>
      <w:bookmarkEnd w:id="5"/>
      <w:r>
        <w:t>Why the Difference Between 1.5°C and 2°C Matters</w:t>
      </w:r>
    </w:p>
    <w:p w14:paraId="50B19619" w14:textId="77777777" w:rsidR="006614E1" w:rsidRDefault="00000000">
      <w:pPr>
        <w:spacing w:before="240" w:after="240"/>
        <w:jc w:val="both"/>
      </w:pPr>
      <w:r>
        <w:t xml:space="preserve">Scientific assessments consistently find that climate risks increase </w:t>
      </w:r>
      <w:r>
        <w:rPr>
          <w:b/>
          <w:bCs/>
        </w:rPr>
        <w:t>non-linearly</w:t>
      </w:r>
      <w:r>
        <w:t xml:space="preserve"> with temperature.</w:t>
      </w:r>
    </w:p>
    <w:p w14:paraId="47D823E2" w14:textId="77777777" w:rsidR="006614E1" w:rsidRDefault="00000000">
      <w:pPr>
        <w:spacing w:before="240" w:after="240"/>
        <w:jc w:val="both"/>
      </w:pPr>
      <w:r>
        <w:t xml:space="preserve">The IPCC concludes that the impacts of warming become significantly more severe once global temperatures exceed </w:t>
      </w:r>
      <w:r>
        <w:rPr>
          <w:b/>
          <w:bCs/>
        </w:rPr>
        <w:t>1.5°C and 2°C above pre-industrial levels</w:t>
      </w:r>
      <w:r>
        <w:t>. Beyond these thresholds, many climate risks escalate rapidly, including heat stress, water scarcity, ecosystem losses, and sea-level rise.</w:t>
      </w:r>
    </w:p>
    <w:p w14:paraId="49E57708" w14:textId="77777777" w:rsidR="006614E1" w:rsidRDefault="00000000">
      <w:pPr>
        <w:spacing w:before="240" w:after="240"/>
        <w:jc w:val="both"/>
      </w:pPr>
      <w:r>
        <w:t>For example, the probability of extreme heat events increases substantially as temperatures rise, and some ecosystems such as coral reefs face near-total loss at higher levels of warming.</w:t>
      </w:r>
    </w:p>
    <w:p w14:paraId="03145742" w14:textId="77777777" w:rsidR="006614E1" w:rsidRDefault="00000000">
      <w:pPr>
        <w:spacing w:before="240" w:after="240"/>
        <w:jc w:val="both"/>
      </w:pPr>
      <w:r>
        <w:t xml:space="preserve">In other words, the difference between </w:t>
      </w:r>
      <w:r>
        <w:rPr>
          <w:b/>
          <w:bCs/>
        </w:rPr>
        <w:t>1.5°C and 2°C of warming is not simply half a degree</w:t>
      </w:r>
      <w:r>
        <w:t>. It represents a meaningful increase in the scale and likelihood of climate impacts.</w:t>
      </w:r>
    </w:p>
    <w:p w14:paraId="3E64414A" w14:textId="77777777" w:rsidR="006614E1" w:rsidRDefault="00000000">
      <w:pPr>
        <w:spacing w:before="240" w:after="240"/>
        <w:jc w:val="both"/>
      </w:pPr>
      <w:r>
        <w:t xml:space="preserve">These findings explain why international climate policy, most notably the Paris Agreement which we discuss below, focuses on limiting warming to </w:t>
      </w:r>
      <w:r>
        <w:rPr>
          <w:b/>
          <w:bCs/>
        </w:rPr>
        <w:t>well below 2°C and pursuing efforts to limit it to 1.5°C</w:t>
      </w:r>
      <w:r>
        <w:t>.</w:t>
      </w:r>
    </w:p>
    <w:p w14:paraId="27298436" w14:textId="77777777" w:rsidR="006614E1" w:rsidRDefault="00000000">
      <w:pPr>
        <w:pStyle w:val="Heading3"/>
        <w:keepNext w:val="0"/>
        <w:keepLines w:val="0"/>
        <w:jc w:val="both"/>
      </w:pPr>
      <w:bookmarkStart w:id="6" w:name="_r8tf6tqwtor7" w:colFirst="0" w:colLast="0"/>
      <w:bookmarkEnd w:id="6"/>
      <w:r>
        <w:t>A Bridge Between Climate Science and Economics</w:t>
      </w:r>
    </w:p>
    <w:p w14:paraId="7EC1CB4D" w14:textId="77777777" w:rsidR="006614E1" w:rsidRDefault="00000000">
      <w:pPr>
        <w:spacing w:before="240" w:after="240"/>
        <w:jc w:val="both"/>
      </w:pPr>
      <w:r>
        <w:t xml:space="preserve">Climate science therefore provides the </w:t>
      </w:r>
      <w:r>
        <w:rPr>
          <w:b/>
          <w:bCs/>
        </w:rPr>
        <w:t>physical foundation</w:t>
      </w:r>
      <w:r>
        <w:t xml:space="preserve"> on which climate economics is built.</w:t>
      </w:r>
    </w:p>
    <w:p w14:paraId="6BA1584F" w14:textId="77777777" w:rsidR="006614E1" w:rsidRDefault="00000000">
      <w:pPr>
        <w:spacing w:before="240" w:after="240"/>
        <w:jc w:val="both"/>
      </w:pPr>
      <w:r>
        <w:t>Economists typically do not model the full complexity of atmospheric processes. Instead, they focus on the relationship between:</w:t>
      </w:r>
    </w:p>
    <w:p w14:paraId="27C5BAF9" w14:textId="77777777" w:rsidR="006614E1" w:rsidRDefault="00000000">
      <w:pPr>
        <w:numPr>
          <w:ilvl w:val="0"/>
          <w:numId w:val="10"/>
        </w:numPr>
        <w:spacing w:before="240" w:after="200"/>
      </w:pPr>
      <w:r>
        <w:rPr>
          <w:b/>
          <w:bCs/>
        </w:rPr>
        <w:t>Human emissions of greenhouse gases</w:t>
      </w:r>
      <w:r>
        <w:t>,</w:t>
      </w:r>
    </w:p>
    <w:p w14:paraId="67A2A810" w14:textId="77777777" w:rsidR="006614E1" w:rsidRDefault="00000000">
      <w:pPr>
        <w:numPr>
          <w:ilvl w:val="0"/>
          <w:numId w:val="10"/>
        </w:numPr>
        <w:spacing w:after="200"/>
      </w:pPr>
      <w:r>
        <w:rPr>
          <w:b/>
          <w:bCs/>
        </w:rPr>
        <w:t>Resulting temperature changes</w:t>
      </w:r>
      <w:r>
        <w:t>, and</w:t>
      </w:r>
    </w:p>
    <w:p w14:paraId="66166432" w14:textId="77777777" w:rsidR="006614E1" w:rsidRDefault="00000000">
      <w:pPr>
        <w:numPr>
          <w:ilvl w:val="0"/>
          <w:numId w:val="10"/>
        </w:numPr>
        <w:spacing w:before="240" w:after="200"/>
      </w:pPr>
      <w:r>
        <w:rPr>
          <w:b/>
          <w:bCs/>
        </w:rPr>
        <w:t>Economic impacts of those changes</w:t>
      </w:r>
      <w:r>
        <w:t>.</w:t>
      </w:r>
    </w:p>
    <w:p w14:paraId="040ED212" w14:textId="77777777" w:rsidR="006614E1" w:rsidRDefault="00000000">
      <w:pPr>
        <w:spacing w:before="240" w:after="240"/>
        <w:jc w:val="both"/>
      </w:pPr>
      <w:r>
        <w:t xml:space="preserve">This approach allows climate change to be </w:t>
      </w:r>
      <w:proofErr w:type="spellStart"/>
      <w:r>
        <w:t>analysed</w:t>
      </w:r>
      <w:proofErr w:type="spellEnd"/>
      <w:r>
        <w:t xml:space="preserve"> as a problem of </w:t>
      </w:r>
      <w:r>
        <w:rPr>
          <w:b/>
          <w:bCs/>
        </w:rPr>
        <w:t>economic decision-making under physical constraints</w:t>
      </w:r>
      <w:r>
        <w:t>.</w:t>
      </w:r>
    </w:p>
    <w:p w14:paraId="479DB256" w14:textId="77777777" w:rsidR="006614E1" w:rsidRDefault="00000000">
      <w:pPr>
        <w:spacing w:before="240" w:after="240"/>
        <w:jc w:val="both"/>
      </w:pPr>
      <w:r>
        <w:lastRenderedPageBreak/>
        <w:t>The remainder of this article focuses on the economic side of this relationship. Because climate change is a global externality, emissions anywhere affect temperatures everywhere, international agreements have become the central mechanism for coordinating climate policy.</w:t>
      </w:r>
    </w:p>
    <w:p w14:paraId="07CF771F" w14:textId="77777777" w:rsidR="006614E1" w:rsidRDefault="00000000">
      <w:pPr>
        <w:pStyle w:val="Heading2"/>
      </w:pPr>
      <w:bookmarkStart w:id="7" w:name="_k8j6v9wynxxt" w:colFirst="0" w:colLast="0"/>
      <w:bookmarkEnd w:id="7"/>
      <w:r>
        <w:t>Global Climate Agreements: The Policy Backbone</w:t>
      </w:r>
    </w:p>
    <w:p w14:paraId="3D1986A0" w14:textId="77777777" w:rsidR="006614E1" w:rsidRDefault="00000000">
      <w:pPr>
        <w:spacing w:before="280"/>
        <w:jc w:val="both"/>
      </w:pPr>
      <w:r>
        <w:t>Although nations and regions operate their own domestic climate policies, the backbone of international climate policy is a series of conventions, protocols, and agreements.</w:t>
      </w:r>
    </w:p>
    <w:p w14:paraId="174E81F8" w14:textId="77777777" w:rsidR="006614E1" w:rsidRDefault="00000000">
      <w:pPr>
        <w:pStyle w:val="Heading3"/>
        <w:spacing w:before="280"/>
        <w:jc w:val="both"/>
      </w:pPr>
      <w:bookmarkStart w:id="8" w:name="_9cc5lqdz1q19" w:colFirst="0" w:colLast="0"/>
      <w:bookmarkEnd w:id="8"/>
      <w:r>
        <w:t>United Nations Framework Convention on Climate Change</w:t>
      </w:r>
    </w:p>
    <w:p w14:paraId="39DCB267" w14:textId="77777777" w:rsidR="006614E1" w:rsidRDefault="00000000">
      <w:pPr>
        <w:spacing w:before="240" w:after="240"/>
        <w:jc w:val="both"/>
        <w:rPr>
          <w:b/>
          <w:bCs/>
        </w:rPr>
      </w:pPr>
      <w:r>
        <w:t>First, came the</w:t>
      </w:r>
      <w:r>
        <w:rPr>
          <w:b/>
          <w:bCs/>
        </w:rPr>
        <w:t xml:space="preserve"> </w:t>
      </w:r>
      <w:hyperlink r:id="rId9">
        <w:r>
          <w:rPr>
            <w:b/>
            <w:bCs/>
            <w:color w:val="1155CC"/>
            <w:u w:val="single"/>
          </w:rPr>
          <w:t>United Nations Framework Convention on Climate Change (UNFCCC)</w:t>
        </w:r>
      </w:hyperlink>
      <w:r>
        <w:rPr>
          <w:b/>
          <w:bCs/>
        </w:rPr>
        <w:t xml:space="preserve">. </w:t>
      </w:r>
      <w:r>
        <w:t>This is the foundational international treaty governing global cooperation on climate change.  It was adopted at the Rio Earth Summit in 1992 and came into force in 1994, with participation from virtually every country.</w:t>
      </w:r>
      <w:r>
        <w:rPr>
          <w:b/>
          <w:bCs/>
        </w:rPr>
        <w:t xml:space="preserve"> </w:t>
      </w:r>
    </w:p>
    <w:p w14:paraId="62B4F2CE" w14:textId="77777777" w:rsidR="006614E1" w:rsidRDefault="00000000">
      <w:pPr>
        <w:spacing w:before="240" w:after="240"/>
        <w:jc w:val="both"/>
      </w:pPr>
      <w:r>
        <w:t xml:space="preserve">The UNFCCC’s </w:t>
      </w:r>
      <w:proofErr w:type="gramStart"/>
      <w:r>
        <w:t>ultimate goal</w:t>
      </w:r>
      <w:proofErr w:type="gramEnd"/>
      <w:r>
        <w:t xml:space="preserve"> was to </w:t>
      </w:r>
      <w:proofErr w:type="spellStart"/>
      <w:r>
        <w:t>stabilise</w:t>
      </w:r>
      <w:proofErr w:type="spellEnd"/>
      <w:r>
        <w:t xml:space="preserve"> greenhouse gas concentrations in the atmosphere</w:t>
      </w:r>
      <w:r>
        <w:rPr>
          <w:i/>
          <w:iCs/>
        </w:rPr>
        <w:t xml:space="preserve"> “at a level that would prevent dangerous anthropogenic (human induced) interference with the climate system.</w:t>
      </w:r>
      <w:r>
        <w:t xml:space="preserve">” Note the focus on </w:t>
      </w:r>
      <w:proofErr w:type="spellStart"/>
      <w:r>
        <w:t>stabilisation</w:t>
      </w:r>
      <w:proofErr w:type="spellEnd"/>
      <w:r>
        <w:t>, not elimination, and concentrations, not annual emissions.</w:t>
      </w:r>
    </w:p>
    <w:p w14:paraId="52D3BD6C" w14:textId="77777777" w:rsidR="006614E1" w:rsidRDefault="00000000">
      <w:pPr>
        <w:spacing w:before="240" w:after="240"/>
        <w:jc w:val="both"/>
      </w:pPr>
      <w:r>
        <w:t>It also established several key principles</w:t>
      </w:r>
      <w:r>
        <w:rPr>
          <w:vertAlign w:val="superscript"/>
        </w:rPr>
        <w:footnoteReference w:id="3"/>
      </w:r>
      <w:r>
        <w:t xml:space="preserve"> - this is where economics begins to enter the picture:</w:t>
      </w:r>
    </w:p>
    <w:p w14:paraId="2016CA5A" w14:textId="77777777" w:rsidR="006614E1" w:rsidRDefault="00000000">
      <w:pPr>
        <w:numPr>
          <w:ilvl w:val="0"/>
          <w:numId w:val="13"/>
        </w:numPr>
        <w:spacing w:before="240" w:after="200"/>
        <w:jc w:val="both"/>
      </w:pPr>
      <w:r>
        <w:rPr>
          <w:i/>
          <w:iCs/>
        </w:rPr>
        <w:t>Cost effectiveness.</w:t>
      </w:r>
      <w:r>
        <w:t xml:space="preserve">  Emissions mitigation efforts should be focused on the most </w:t>
      </w:r>
      <w:proofErr w:type="gramStart"/>
      <w:r>
        <w:t>cost effective</w:t>
      </w:r>
      <w:proofErr w:type="gramEnd"/>
      <w:r>
        <w:t xml:space="preserve"> policies and measures, so that global benefits are achieved at the lowest possible cost.</w:t>
      </w:r>
    </w:p>
    <w:p w14:paraId="255DAAAD" w14:textId="77777777" w:rsidR="006614E1" w:rsidRDefault="00000000">
      <w:pPr>
        <w:numPr>
          <w:ilvl w:val="0"/>
          <w:numId w:val="13"/>
        </w:numPr>
        <w:spacing w:before="240" w:after="200"/>
        <w:jc w:val="both"/>
      </w:pPr>
      <w:r>
        <w:rPr>
          <w:i/>
          <w:iCs/>
        </w:rPr>
        <w:t>Common but Differentiated Responsibilities (CBDR)</w:t>
      </w:r>
      <w:r>
        <w:t>.  All countries share responsibility for climate change, but not equally.  This reflects historical emissions, differences in income and capacity, and development needs.  It embeds equity constraints into global policy.</w:t>
      </w:r>
    </w:p>
    <w:p w14:paraId="1569695F" w14:textId="77777777" w:rsidR="006614E1" w:rsidRDefault="00000000">
      <w:pPr>
        <w:numPr>
          <w:ilvl w:val="0"/>
          <w:numId w:val="13"/>
        </w:numPr>
        <w:spacing w:after="200"/>
        <w:jc w:val="both"/>
      </w:pPr>
      <w:r>
        <w:rPr>
          <w:i/>
          <w:iCs/>
        </w:rPr>
        <w:t>Development comes first (within limits)</w:t>
      </w:r>
      <w:r>
        <w:t>.  Economic development and poverty reduction matter and climate action should not unduly constrain this.  This is why early agreements placed obligations mainly on developed countries and, as we shall see below, the Paris Agreement relies on nationally determined pledges rather than uniform targets.</w:t>
      </w:r>
    </w:p>
    <w:p w14:paraId="07FC0FAC" w14:textId="77777777" w:rsidR="006614E1" w:rsidRDefault="00000000">
      <w:pPr>
        <w:numPr>
          <w:ilvl w:val="0"/>
          <w:numId w:val="13"/>
        </w:numPr>
        <w:spacing w:before="240" w:after="200"/>
        <w:jc w:val="both"/>
        <w:rPr>
          <w:i/>
          <w:iCs/>
        </w:rPr>
      </w:pPr>
      <w:r>
        <w:rPr>
          <w:i/>
          <w:iCs/>
        </w:rPr>
        <w:t>Precaution under uncertainty</w:t>
      </w:r>
      <w:r>
        <w:t>.  Scientific uncertainty is not a reason to delay action, but policy should remain flexible as evidence evolves.</w:t>
      </w:r>
    </w:p>
    <w:p w14:paraId="6BF1E8C3" w14:textId="77777777" w:rsidR="006614E1" w:rsidRDefault="00000000">
      <w:pPr>
        <w:spacing w:before="240" w:after="240"/>
        <w:jc w:val="both"/>
      </w:pPr>
      <w:r>
        <w:t xml:space="preserve">Most importantly, </w:t>
      </w:r>
      <w:r>
        <w:rPr>
          <w:b/>
          <w:bCs/>
        </w:rPr>
        <w:t xml:space="preserve">the UNFCCC is a framework that paved the way for subsequent agreements, but it is not an action </w:t>
      </w:r>
      <w:proofErr w:type="gramStart"/>
      <w:r>
        <w:rPr>
          <w:b/>
          <w:bCs/>
        </w:rPr>
        <w:t>plan in itself</w:t>
      </w:r>
      <w:proofErr w:type="gramEnd"/>
      <w:r>
        <w:t xml:space="preserve">. It set out goals and principles, as well as creating institutions, reporting systems, as well as a forum for negotiation. These are annual </w:t>
      </w:r>
      <w:r>
        <w:lastRenderedPageBreak/>
        <w:t>Conferences of the Parties, or “COPs”, the most recent of which was COP30 in 2025 held in Brazil.  It does not set binding emissions targets, specify policy, or enforce compliance.</w:t>
      </w:r>
    </w:p>
    <w:p w14:paraId="3A7B7248" w14:textId="77777777" w:rsidR="006614E1" w:rsidRDefault="00000000">
      <w:pPr>
        <w:pStyle w:val="Heading3"/>
        <w:spacing w:before="240" w:after="240"/>
        <w:jc w:val="both"/>
      </w:pPr>
      <w:bookmarkStart w:id="9" w:name="_q625bc4v94l0" w:colFirst="0" w:colLast="0"/>
      <w:bookmarkEnd w:id="9"/>
      <w:r>
        <w:t xml:space="preserve">Kyoto Protocol (1997) </w:t>
      </w:r>
    </w:p>
    <w:p w14:paraId="2CDC0E26" w14:textId="77777777" w:rsidR="006614E1" w:rsidRDefault="00000000">
      <w:pPr>
        <w:spacing w:before="240" w:after="240"/>
        <w:jc w:val="both"/>
      </w:pPr>
      <w:r>
        <w:t>Then came the</w:t>
      </w:r>
      <w:r>
        <w:rPr>
          <w:b/>
          <w:bCs/>
        </w:rPr>
        <w:t xml:space="preserve"> </w:t>
      </w:r>
      <w:hyperlink r:id="rId10">
        <w:r>
          <w:rPr>
            <w:b/>
            <w:bCs/>
            <w:color w:val="1155CC"/>
            <w:u w:val="single"/>
          </w:rPr>
          <w:t>Kyoto Protocol</w:t>
        </w:r>
      </w:hyperlink>
      <w:r>
        <w:t>, which was adopted in 1997 at COP3 and came into force in 2005. It was the first international agreement to impose legally binding greenhouse gas emissions targets, though it had limits to its coverage.</w:t>
      </w:r>
    </w:p>
    <w:p w14:paraId="1117810E" w14:textId="77777777" w:rsidR="006614E1" w:rsidRDefault="00000000">
      <w:pPr>
        <w:spacing w:before="240" w:after="240"/>
        <w:jc w:val="both"/>
      </w:pPr>
      <w:r>
        <w:t xml:space="preserve">It divided countries into two groups, under the CBDR principle in the UNFCCC: </w:t>
      </w:r>
    </w:p>
    <w:p w14:paraId="4DBEA0DF" w14:textId="77777777" w:rsidR="006614E1" w:rsidRDefault="00000000">
      <w:pPr>
        <w:numPr>
          <w:ilvl w:val="0"/>
          <w:numId w:val="14"/>
        </w:numPr>
        <w:spacing w:before="240" w:after="200"/>
        <w:jc w:val="both"/>
      </w:pPr>
      <w:r>
        <w:t xml:space="preserve">Mostly </w:t>
      </w:r>
      <w:r>
        <w:rPr>
          <w:i/>
          <w:iCs/>
        </w:rPr>
        <w:t>developed</w:t>
      </w:r>
      <w:r>
        <w:t xml:space="preserve"> economies were committed to cutting emissions by around 5% below 1990 levels for the period 2008-2012.</w:t>
      </w:r>
      <w:r>
        <w:rPr>
          <w:vertAlign w:val="superscript"/>
        </w:rPr>
        <w:footnoteReference w:id="4"/>
      </w:r>
    </w:p>
    <w:p w14:paraId="252E59FD" w14:textId="77777777" w:rsidR="006614E1" w:rsidRDefault="00000000">
      <w:pPr>
        <w:numPr>
          <w:ilvl w:val="0"/>
          <w:numId w:val="14"/>
        </w:numPr>
        <w:spacing w:before="240" w:after="200"/>
        <w:jc w:val="both"/>
      </w:pPr>
      <w:r>
        <w:t xml:space="preserve">Mostly </w:t>
      </w:r>
      <w:r>
        <w:rPr>
          <w:i/>
          <w:iCs/>
        </w:rPr>
        <w:t>developing</w:t>
      </w:r>
      <w:r>
        <w:t xml:space="preserve"> countries, which had no binding commitments.</w:t>
      </w:r>
    </w:p>
    <w:p w14:paraId="7E3F039E" w14:textId="77777777" w:rsidR="006614E1" w:rsidRDefault="00000000">
      <w:pPr>
        <w:spacing w:before="240" w:after="200"/>
        <w:jc w:val="both"/>
      </w:pPr>
      <w:r>
        <w:t>Again, enter economics.  Rather than mandating how emissions should be reduced, Kyoto allowed countries to meet targets through market-based mechanisms.  This introduced:</w:t>
      </w:r>
    </w:p>
    <w:p w14:paraId="527AB3E4" w14:textId="77777777" w:rsidR="006614E1" w:rsidRDefault="00000000">
      <w:pPr>
        <w:numPr>
          <w:ilvl w:val="0"/>
          <w:numId w:val="8"/>
        </w:numPr>
        <w:spacing w:before="240" w:after="200"/>
        <w:jc w:val="both"/>
      </w:pPr>
      <w:hyperlink r:id="rId11">
        <w:r>
          <w:rPr>
            <w:i/>
            <w:iCs/>
            <w:color w:val="1155CC"/>
            <w:u w:val="single"/>
          </w:rPr>
          <w:t>Emissions trading</w:t>
        </w:r>
      </w:hyperlink>
      <w:r>
        <w:t xml:space="preserve">, intended to provide cost-effective abatement through carbon markets. See our article </w:t>
      </w:r>
      <w:hyperlink r:id="rId12">
        <w:r>
          <w:rPr>
            <w:color w:val="1155CC"/>
            <w:u w:val="single"/>
          </w:rPr>
          <w:t>A Short History of the Voluntary Carbon Market</w:t>
        </w:r>
      </w:hyperlink>
      <w:r>
        <w:t xml:space="preserve"> for more information on the evolution of this concept.</w:t>
      </w:r>
    </w:p>
    <w:p w14:paraId="48541675" w14:textId="77777777" w:rsidR="006614E1" w:rsidRDefault="00000000">
      <w:pPr>
        <w:numPr>
          <w:ilvl w:val="0"/>
          <w:numId w:val="8"/>
        </w:numPr>
        <w:spacing w:after="200"/>
        <w:jc w:val="both"/>
      </w:pPr>
      <w:hyperlink r:id="rId13">
        <w:r>
          <w:rPr>
            <w:i/>
            <w:iCs/>
            <w:color w:val="1155CC"/>
            <w:u w:val="single"/>
          </w:rPr>
          <w:t>The Clean Development Mechanism (CDM)</w:t>
        </w:r>
      </w:hyperlink>
      <w:r>
        <w:t>, allowing developed countries to finance emissions-reducing projects in developing countries and receive offset credits in return.</w:t>
      </w:r>
    </w:p>
    <w:p w14:paraId="5CEE5E2B" w14:textId="77777777" w:rsidR="006614E1" w:rsidRDefault="00000000">
      <w:pPr>
        <w:numPr>
          <w:ilvl w:val="0"/>
          <w:numId w:val="8"/>
        </w:numPr>
        <w:spacing w:before="240" w:after="200"/>
        <w:jc w:val="both"/>
      </w:pPr>
      <w:hyperlink r:id="rId14">
        <w:r>
          <w:rPr>
            <w:i/>
            <w:iCs/>
            <w:color w:val="1155CC"/>
            <w:u w:val="single"/>
          </w:rPr>
          <w:t>Joint Implementation (JI)</w:t>
        </w:r>
      </w:hyperlink>
      <w:r>
        <w:t xml:space="preserve">, which is </w:t>
      </w:r>
      <w:proofErr w:type="gramStart"/>
      <w:r>
        <w:t>similar to</w:t>
      </w:r>
      <w:proofErr w:type="gramEnd"/>
      <w:r>
        <w:t xml:space="preserve"> the CDM but between two developed countries.</w:t>
      </w:r>
    </w:p>
    <w:p w14:paraId="3F9F8564" w14:textId="77777777" w:rsidR="006614E1" w:rsidRDefault="00000000">
      <w:pPr>
        <w:spacing w:before="240" w:after="200"/>
        <w:jc w:val="both"/>
      </w:pPr>
      <w:r>
        <w:t xml:space="preserve">The key insight from all this is that the Kyoto Protocol applied the UNFCCC principle of cost effectiveness, so that </w:t>
      </w:r>
      <w:r>
        <w:rPr>
          <w:b/>
          <w:bCs/>
        </w:rPr>
        <w:t>abatement occurs where it is cheapest</w:t>
      </w:r>
      <w:r>
        <w:t>, regardless of location.</w:t>
      </w:r>
    </w:p>
    <w:p w14:paraId="65CD2B23" w14:textId="77777777" w:rsidR="006614E1" w:rsidRDefault="00000000">
      <w:pPr>
        <w:spacing w:before="240" w:after="240"/>
        <w:jc w:val="both"/>
      </w:pPr>
      <w:r>
        <w:t xml:space="preserve">Despite its innovations, </w:t>
      </w:r>
      <w:r>
        <w:rPr>
          <w:b/>
          <w:bCs/>
        </w:rPr>
        <w:t>the Kyoto Protocol had major limitations</w:t>
      </w:r>
      <w:r>
        <w:t>.  Major emitters such as China and India had no binding targets, while the United States never ratified the Protocol.  This left well over half of global emissions uncovered.  Moreover, penalties for non-compliance were modest and there was no credible enforcement mechanism.</w:t>
      </w:r>
    </w:p>
    <w:p w14:paraId="0AFCC771" w14:textId="77777777" w:rsidR="006614E1" w:rsidRDefault="00000000">
      <w:pPr>
        <w:pStyle w:val="Heading3"/>
        <w:spacing w:before="240" w:after="240"/>
        <w:jc w:val="both"/>
      </w:pPr>
      <w:bookmarkStart w:id="10" w:name="_tsfo14mwknx4" w:colFirst="0" w:colLast="0"/>
      <w:bookmarkEnd w:id="10"/>
      <w:r>
        <w:t>Paris Agreement (2015)</w:t>
      </w:r>
    </w:p>
    <w:p w14:paraId="1E7BF8D8" w14:textId="77777777" w:rsidR="006614E1" w:rsidRDefault="00000000">
      <w:pPr>
        <w:spacing w:before="240" w:after="240"/>
        <w:jc w:val="both"/>
      </w:pPr>
      <w:r>
        <w:t xml:space="preserve">The obvious need to address these limitations led to the </w:t>
      </w:r>
      <w:hyperlink r:id="rId15">
        <w:r>
          <w:rPr>
            <w:b/>
            <w:bCs/>
            <w:color w:val="1155CC"/>
            <w:u w:val="single"/>
          </w:rPr>
          <w:t>Paris Agreement</w:t>
        </w:r>
      </w:hyperlink>
      <w:r>
        <w:t>, which was adopted in 2015 at COP21 and entered into force in 2016.</w:t>
      </w:r>
      <w:r>
        <w:rPr>
          <w:b/>
          <w:bCs/>
        </w:rPr>
        <w:t xml:space="preserve"> </w:t>
      </w:r>
      <w:r>
        <w:t xml:space="preserve">It applies to all countries, not only developed countries, and commits to the core temperature goals we are used to reading today: a dual </w:t>
      </w:r>
      <w:r>
        <w:lastRenderedPageBreak/>
        <w:t xml:space="preserve">temperature objective relative to pre-industrial levels: </w:t>
      </w:r>
      <w:r>
        <w:rPr>
          <w:i/>
          <w:iCs/>
        </w:rPr>
        <w:t>to hold increases well below 2°C, pursue efforts to limit warming to 1.5°C</w:t>
      </w:r>
      <w:r>
        <w:t>.</w:t>
      </w:r>
    </w:p>
    <w:p w14:paraId="15063231" w14:textId="77777777" w:rsidR="006614E1" w:rsidRDefault="00000000">
      <w:pPr>
        <w:spacing w:before="240" w:after="240"/>
        <w:jc w:val="both"/>
      </w:pPr>
      <w:r>
        <w:t xml:space="preserve">Importantly, </w:t>
      </w:r>
      <w:r>
        <w:rPr>
          <w:b/>
          <w:bCs/>
        </w:rPr>
        <w:t xml:space="preserve">these goals can be translated into so-called carbon budgets (more on this below) </w:t>
      </w:r>
      <w:r>
        <w:t>and</w:t>
      </w:r>
      <w:r>
        <w:rPr>
          <w:b/>
          <w:bCs/>
        </w:rPr>
        <w:t xml:space="preserve"> imply the need to reach net zero emissions before those carbon budgets are spent</w:t>
      </w:r>
      <w:r>
        <w:t>.</w:t>
      </w:r>
    </w:p>
    <w:p w14:paraId="29C02C5D" w14:textId="77777777" w:rsidR="006614E1" w:rsidRDefault="00000000">
      <w:pPr>
        <w:spacing w:before="240" w:after="240"/>
        <w:jc w:val="both"/>
      </w:pPr>
      <w:r>
        <w:t xml:space="preserve">Central to this are </w:t>
      </w:r>
      <w:r>
        <w:rPr>
          <w:b/>
          <w:bCs/>
        </w:rPr>
        <w:t>Nationally Determined Contributions (NDCs)</w:t>
      </w:r>
      <w:r>
        <w:t xml:space="preserve">, where each country sets its own emissions target, chooses how to meet it, and updates it every five years.  There are no binding emissions caps and no enforcement penalties: in practice, the Paris Agreement </w:t>
      </w:r>
      <w:proofErr w:type="spellStart"/>
      <w:r>
        <w:t>prioritised</w:t>
      </w:r>
      <w:proofErr w:type="spellEnd"/>
      <w:r>
        <w:t xml:space="preserve"> near-universal participation over binding emissions targets and cost-effective abatement.</w:t>
      </w:r>
    </w:p>
    <w:p w14:paraId="4C72A5DB" w14:textId="77777777" w:rsidR="006614E1" w:rsidRDefault="00000000">
      <w:pPr>
        <w:pStyle w:val="Heading2"/>
      </w:pPr>
      <w:bookmarkStart w:id="11" w:name="_559kprnmc650" w:colFirst="0" w:colLast="0"/>
      <w:bookmarkEnd w:id="11"/>
      <w:r>
        <w:t>What the IPCC is — and What It Is Not</w:t>
      </w:r>
    </w:p>
    <w:p w14:paraId="655193A1" w14:textId="77777777" w:rsidR="006614E1" w:rsidRDefault="00000000">
      <w:pPr>
        <w:spacing w:before="280"/>
        <w:jc w:val="both"/>
      </w:pPr>
      <w:r>
        <w:t xml:space="preserve">We have provided a guided tour of international climate </w:t>
      </w:r>
      <w:proofErr w:type="gramStart"/>
      <w:r>
        <w:t>policy,</w:t>
      </w:r>
      <w:proofErr w:type="gramEnd"/>
      <w:r>
        <w:t xml:space="preserve"> we now turn to international climate science and the </w:t>
      </w:r>
      <w:hyperlink r:id="rId16">
        <w:r>
          <w:rPr>
            <w:b/>
            <w:bCs/>
            <w:color w:val="1155CC"/>
            <w:u w:val="single"/>
          </w:rPr>
          <w:t>Intergovernmental Panel on Climate Change (IPCC)</w:t>
        </w:r>
      </w:hyperlink>
      <w:r>
        <w:t xml:space="preserve">. The IPCC was established by the World Meteorological Organization (WMO) and United Nations Environment </w:t>
      </w:r>
      <w:proofErr w:type="spellStart"/>
      <w:r>
        <w:t>Programme</w:t>
      </w:r>
      <w:proofErr w:type="spellEnd"/>
      <w:r>
        <w:t xml:space="preserve"> (UNEP), so it predates the UNFCCC.</w:t>
      </w:r>
    </w:p>
    <w:p w14:paraId="059975DD" w14:textId="77777777" w:rsidR="006614E1" w:rsidRDefault="00000000">
      <w:pPr>
        <w:spacing w:before="280"/>
        <w:jc w:val="both"/>
      </w:pPr>
      <w:r>
        <w:t>In the late 1980s and early 1990s it established that climate change was real, linked emissions to warming, and motivated governments to negotiate the UNFCCC. To this day, it informs UNFCCC negotiations including the Kyoto Protocol and Paris Agreement.</w:t>
      </w:r>
    </w:p>
    <w:p w14:paraId="6B4B41C0" w14:textId="77777777" w:rsidR="006614E1" w:rsidRDefault="00000000">
      <w:pPr>
        <w:spacing w:before="280"/>
        <w:jc w:val="both"/>
      </w:pPr>
      <w:r>
        <w:t xml:space="preserve">To do this, it </w:t>
      </w:r>
      <w:proofErr w:type="spellStart"/>
      <w:r>
        <w:t>synthesises</w:t>
      </w:r>
      <w:proofErr w:type="spellEnd"/>
      <w:r>
        <w:t xml:space="preserve"> thousands of peer-reviewed studies, assesses the strength and uncertainty of evidence, and produces consensus reports agreed by governments and scientists.  </w:t>
      </w:r>
      <w:hyperlink r:id="rId17">
        <w:r>
          <w:rPr>
            <w:color w:val="1155CC"/>
            <w:u w:val="single"/>
          </w:rPr>
          <w:t>Its most recent release was in 2023</w:t>
        </w:r>
      </w:hyperlink>
      <w:r>
        <w:t>.</w:t>
      </w:r>
    </w:p>
    <w:p w14:paraId="412651DE" w14:textId="77777777" w:rsidR="006614E1" w:rsidRDefault="00000000">
      <w:pPr>
        <w:spacing w:before="240" w:after="240"/>
        <w:jc w:val="both"/>
      </w:pPr>
      <w:r>
        <w:t xml:space="preserve">The IPCC therefore does not determine </w:t>
      </w:r>
      <w:proofErr w:type="gramStart"/>
      <w:r>
        <w:t>policy</w:t>
      </w:r>
      <w:proofErr w:type="gramEnd"/>
      <w:r>
        <w:t xml:space="preserve"> but it does determine the scientific constraints that policy must achieve. Most importantly, it finds that </w:t>
      </w:r>
      <w:r>
        <w:rPr>
          <w:b/>
          <w:bCs/>
        </w:rPr>
        <w:t>climate risks increase substantially between 1.5°C and 2°C of warming, with higher impacts on extreme heat, water stress, food security, sea level rise, and ecosystems</w:t>
      </w:r>
      <w:r>
        <w:t>. This explains the Paris Agreement’s use of these temperature increases.</w:t>
      </w:r>
    </w:p>
    <w:p w14:paraId="761F99DF" w14:textId="77777777" w:rsidR="006614E1" w:rsidRDefault="00000000">
      <w:pPr>
        <w:spacing w:before="240" w:after="240"/>
        <w:jc w:val="both"/>
      </w:pPr>
      <w:r>
        <w:t xml:space="preserve">The IPCC also provides estimates of the following three concepts which underpin quantitative climate policy analysis: climate sensitivities, carbon budgets, and </w:t>
      </w:r>
      <w:proofErr w:type="spellStart"/>
      <w:r>
        <w:t>standardised</w:t>
      </w:r>
      <w:proofErr w:type="spellEnd"/>
      <w:r>
        <w:t xml:space="preserve"> scenario frameworks. We now consider these in turn.</w:t>
      </w:r>
    </w:p>
    <w:p w14:paraId="355EF341" w14:textId="77777777" w:rsidR="006614E1" w:rsidRDefault="00000000">
      <w:pPr>
        <w:pStyle w:val="Heading3"/>
      </w:pPr>
      <w:bookmarkStart w:id="12" w:name="_1aclqxevbcp4" w:colFirst="0" w:colLast="0"/>
      <w:bookmarkEnd w:id="12"/>
      <w:r>
        <w:t>Climate Sensitivities: From Emissions to Warming</w:t>
      </w:r>
    </w:p>
    <w:p w14:paraId="16A6C607" w14:textId="77777777" w:rsidR="006614E1" w:rsidRDefault="00000000">
      <w:pPr>
        <w:spacing w:before="240" w:after="240"/>
        <w:jc w:val="both"/>
      </w:pPr>
      <w:r>
        <w:t xml:space="preserve">A central question in climate economics is how emissions translate into temperature change. The IPCC </w:t>
      </w:r>
      <w:proofErr w:type="spellStart"/>
      <w:r>
        <w:t>summarises</w:t>
      </w:r>
      <w:proofErr w:type="spellEnd"/>
      <w:r>
        <w:t xml:space="preserve"> this relationship using a concept known as the </w:t>
      </w:r>
      <w:r>
        <w:rPr>
          <w:b/>
          <w:bCs/>
        </w:rPr>
        <w:t>Transient Climate Response to Cumulative Emissions (TCRE)</w:t>
      </w:r>
      <w:r>
        <w:t>. The TCRE links:</w:t>
      </w:r>
    </w:p>
    <w:p w14:paraId="1707C3FA" w14:textId="77777777" w:rsidR="006614E1" w:rsidRDefault="00000000">
      <w:pPr>
        <w:spacing w:before="240" w:after="240"/>
        <w:ind w:left="600" w:right="600"/>
        <w:jc w:val="center"/>
        <w:rPr>
          <w:i/>
          <w:iCs/>
        </w:rPr>
      </w:pPr>
      <w:r>
        <w:rPr>
          <w:rFonts w:ascii="Arial Unicode MS" w:eastAsia="Arial Unicode MS" w:hAnsi="Arial Unicode MS" w:cs="Arial Unicode MS"/>
          <w:i/>
          <w:iCs/>
        </w:rPr>
        <w:t>Total cumulative CO₂ emissions → expected global temperature rise</w:t>
      </w:r>
    </w:p>
    <w:p w14:paraId="1FF60199" w14:textId="77777777" w:rsidR="006614E1" w:rsidRDefault="00000000">
      <w:pPr>
        <w:spacing w:before="240" w:after="240"/>
        <w:jc w:val="both"/>
      </w:pPr>
      <w:r>
        <w:lastRenderedPageBreak/>
        <w:t xml:space="preserve">The key insight is strikingly simple: </w:t>
      </w:r>
      <w:r>
        <w:rPr>
          <w:b/>
          <w:bCs/>
        </w:rPr>
        <w:t>warming is approximately linear in cumulative CO₂ emissions</w:t>
      </w:r>
      <w:r>
        <w:t xml:space="preserve">. This means that each additional </w:t>
      </w:r>
      <w:proofErr w:type="spellStart"/>
      <w:r>
        <w:t>tonne</w:t>
      </w:r>
      <w:proofErr w:type="spellEnd"/>
      <w:r>
        <w:t xml:space="preserve"> of CO₂ contributes roughly the same amount to global warming, regardless of when it is emitted. This can be seen in the figure below, which plots global temperature increases as a function of cumulative CO</w:t>
      </w:r>
      <w:r>
        <w:rPr>
          <w:vertAlign w:val="subscript"/>
        </w:rPr>
        <w:t>2</w:t>
      </w:r>
      <w:r>
        <w:t xml:space="preserve"> emissions.</w:t>
      </w:r>
      <w:r>
        <w:rPr>
          <w:vertAlign w:val="superscript"/>
        </w:rPr>
        <w:footnoteReference w:id="5"/>
      </w:r>
    </w:p>
    <w:p w14:paraId="3BA811C4" w14:textId="77777777" w:rsidR="006614E1" w:rsidRDefault="00000000">
      <w:pPr>
        <w:spacing w:before="240" w:after="240"/>
        <w:jc w:val="both"/>
      </w:pPr>
      <w:r>
        <w:t xml:space="preserve">The IPCC’s central estimate implies that emitting around </w:t>
      </w:r>
      <w:r>
        <w:rPr>
          <w:b/>
          <w:bCs/>
        </w:rPr>
        <w:t xml:space="preserve">1,000 </w:t>
      </w:r>
      <w:proofErr w:type="spellStart"/>
      <w:r>
        <w:rPr>
          <w:b/>
          <w:bCs/>
        </w:rPr>
        <w:t>gigatonnes</w:t>
      </w:r>
      <w:proofErr w:type="spellEnd"/>
      <w:r>
        <w:rPr>
          <w:b/>
          <w:bCs/>
        </w:rPr>
        <w:t xml:space="preserve"> of CO₂</w:t>
      </w:r>
      <w:r>
        <w:t xml:space="preserve"> (GtCO</w:t>
      </w:r>
      <w:r>
        <w:rPr>
          <w:vertAlign w:val="subscript"/>
        </w:rPr>
        <w:t>2</w:t>
      </w:r>
      <w:r>
        <w:t xml:space="preserve">) leads to roughly </w:t>
      </w:r>
      <w:r>
        <w:rPr>
          <w:b/>
          <w:bCs/>
        </w:rPr>
        <w:t>0.45°C of global warming</w:t>
      </w:r>
      <w:r>
        <w:t>, though there is uncertainty around this figure.</w:t>
      </w:r>
      <w:r>
        <w:rPr>
          <w:vertAlign w:val="superscript"/>
        </w:rPr>
        <w:footnoteReference w:id="6"/>
      </w:r>
      <w:r>
        <w:t xml:space="preserve">  </w:t>
      </w:r>
    </w:p>
    <w:p w14:paraId="39BE551C" w14:textId="77777777" w:rsidR="006614E1" w:rsidRDefault="00000000">
      <w:pPr>
        <w:spacing w:before="240" w:after="240"/>
        <w:jc w:val="both"/>
      </w:pPr>
      <w:r>
        <w:t>This relationship has powerful implications for policy:</w:t>
      </w:r>
    </w:p>
    <w:p w14:paraId="55D3E2E5" w14:textId="77777777" w:rsidR="006614E1" w:rsidRDefault="00000000">
      <w:pPr>
        <w:numPr>
          <w:ilvl w:val="0"/>
          <w:numId w:val="16"/>
        </w:numPr>
        <w:spacing w:before="240" w:after="200"/>
        <w:jc w:val="both"/>
      </w:pPr>
      <w:r>
        <w:t>Delays today lock in future warming by using up more of the remaining carbon budget.</w:t>
      </w:r>
    </w:p>
    <w:p w14:paraId="3CB44F39" w14:textId="77777777" w:rsidR="006614E1" w:rsidRDefault="00000000">
      <w:pPr>
        <w:numPr>
          <w:ilvl w:val="0"/>
          <w:numId w:val="16"/>
        </w:numPr>
        <w:spacing w:after="200"/>
        <w:jc w:val="both"/>
      </w:pPr>
      <w:r>
        <w:t>What matters most for long-run climate outcomes is total cumulative emissions, not emissions in any single year.</w:t>
      </w:r>
    </w:p>
    <w:p w14:paraId="6C5003FD" w14:textId="77777777" w:rsidR="006614E1" w:rsidRDefault="00000000">
      <w:pPr>
        <w:numPr>
          <w:ilvl w:val="0"/>
          <w:numId w:val="16"/>
        </w:numPr>
        <w:spacing w:before="240" w:after="200"/>
        <w:jc w:val="both"/>
      </w:pPr>
      <w:r>
        <w:t xml:space="preserve">This is why reaching net zero CO₂, rather than merely slowing emissions growth, is essential for </w:t>
      </w:r>
      <w:proofErr w:type="spellStart"/>
      <w:r>
        <w:t>stabilising</w:t>
      </w:r>
      <w:proofErr w:type="spellEnd"/>
      <w:r>
        <w:t xml:space="preserve"> temperatures.</w:t>
      </w:r>
    </w:p>
    <w:p w14:paraId="54B5E949" w14:textId="77777777" w:rsidR="006614E1" w:rsidRDefault="00000000">
      <w:pPr>
        <w:spacing w:before="240" w:after="240"/>
        <w:jc w:val="both"/>
      </w:pPr>
      <w:r>
        <w:t xml:space="preserve">In short, the TCRE explains why climate change is best understood as a </w:t>
      </w:r>
      <w:r>
        <w:rPr>
          <w:b/>
          <w:bCs/>
        </w:rPr>
        <w:t>stock problem</w:t>
      </w:r>
      <w:r>
        <w:t>, not a flow problem.</w:t>
      </w:r>
    </w:p>
    <w:p w14:paraId="61C37068" w14:textId="77777777" w:rsidR="006614E1" w:rsidRDefault="00000000">
      <w:pPr>
        <w:spacing w:before="240" w:after="240"/>
        <w:jc w:val="center"/>
      </w:pPr>
      <w:r>
        <w:rPr>
          <w:noProof/>
        </w:rPr>
        <w:lastRenderedPageBreak/>
        <w:drawing>
          <wp:inline distT="114300" distB="114300" distL="114300" distR="114300" wp14:anchorId="51EDBB53" wp14:editId="2838407C">
            <wp:extent cx="5943600" cy="44069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8"/>
                    <a:srcRect/>
                    <a:stretch>
                      <a:fillRect/>
                    </a:stretch>
                  </pic:blipFill>
                  <pic:spPr>
                    <a:xfrm>
                      <a:off x="0" y="0"/>
                      <a:ext cx="5943600" cy="4406900"/>
                    </a:xfrm>
                    <a:prstGeom prst="rect">
                      <a:avLst/>
                    </a:prstGeom>
                    <a:ln/>
                  </pic:spPr>
                </pic:pic>
              </a:graphicData>
            </a:graphic>
          </wp:inline>
        </w:drawing>
      </w:r>
    </w:p>
    <w:p w14:paraId="21BC2C49" w14:textId="77777777" w:rsidR="006614E1" w:rsidRDefault="00000000">
      <w:pPr>
        <w:pStyle w:val="Heading3"/>
      </w:pPr>
      <w:bookmarkStart w:id="13" w:name="_3x7fmewczzkj" w:colFirst="0" w:colLast="0"/>
      <w:bookmarkEnd w:id="13"/>
      <w:r>
        <w:t>Carbon Budgets: Why Cumulative Emissions Dominate</w:t>
      </w:r>
    </w:p>
    <w:p w14:paraId="4AFBB294" w14:textId="77777777" w:rsidR="006614E1" w:rsidRDefault="00000000">
      <w:pPr>
        <w:spacing w:before="240" w:after="240"/>
        <w:jc w:val="both"/>
      </w:pPr>
      <w:r>
        <w:t xml:space="preserve">A </w:t>
      </w:r>
      <w:r>
        <w:rPr>
          <w:b/>
          <w:bCs/>
        </w:rPr>
        <w:t>carbon budget</w:t>
      </w:r>
      <w:r>
        <w:t xml:space="preserve"> is the total amount of CO₂ that can be emitted while keeping warming below a specified temperature threshold, such as those in the Paris Agreement. The IPCC’s central estimates of the remaining carbon budget from the beginning of 2020 for limiting warming to 1.5°C was 500 GtCO</w:t>
      </w:r>
      <w:r>
        <w:rPr>
          <w:vertAlign w:val="subscript"/>
        </w:rPr>
        <w:t>2</w:t>
      </w:r>
      <w:r>
        <w:t>; for 2°C this was 1150 GtCO</w:t>
      </w:r>
      <w:r>
        <w:rPr>
          <w:vertAlign w:val="subscript"/>
        </w:rPr>
        <w:t>2</w:t>
      </w:r>
      <w:r>
        <w:t>.</w:t>
      </w:r>
      <w:r>
        <w:rPr>
          <w:vertAlign w:val="superscript"/>
        </w:rPr>
        <w:footnoteReference w:id="7"/>
      </w:r>
    </w:p>
    <w:p w14:paraId="34FEAB3D" w14:textId="77777777" w:rsidR="006614E1" w:rsidRDefault="00000000">
      <w:pPr>
        <w:spacing w:before="240" w:after="240"/>
        <w:jc w:val="both"/>
      </w:pPr>
      <w:r>
        <w:t xml:space="preserve">As set out in our article </w:t>
      </w:r>
      <w:hyperlink r:id="rId19">
        <w:r>
          <w:rPr>
            <w:color w:val="1155CC"/>
            <w:u w:val="single"/>
          </w:rPr>
          <w:t>Carbon Budgets: From Concept to Implementation</w:t>
        </w:r>
      </w:hyperlink>
      <w:r>
        <w:t>, the TCRE and global emissions to date imply the remaining carbon budget for 1.5°C has decreased to around 200 GtCO</w:t>
      </w:r>
      <w:r>
        <w:rPr>
          <w:vertAlign w:val="subscript"/>
        </w:rPr>
        <w:t>2</w:t>
      </w:r>
      <w:r>
        <w:t>.  At current emissions rates, this implies breaking the 1.5°C target within five years.</w:t>
      </w:r>
    </w:p>
    <w:p w14:paraId="28FC03FA" w14:textId="77777777" w:rsidR="006614E1" w:rsidRDefault="00000000">
      <w:pPr>
        <w:spacing w:before="240" w:after="240"/>
        <w:jc w:val="both"/>
      </w:pPr>
      <w:r>
        <w:t>Carbon budgets follow directly from the TCRE. Because warming depends on cumulative emissions:</w:t>
      </w:r>
    </w:p>
    <w:p w14:paraId="673145DD" w14:textId="77777777" w:rsidR="006614E1" w:rsidRDefault="00000000">
      <w:pPr>
        <w:numPr>
          <w:ilvl w:val="0"/>
          <w:numId w:val="5"/>
        </w:numPr>
        <w:spacing w:before="240" w:after="200"/>
        <w:jc w:val="both"/>
      </w:pPr>
      <w:r>
        <w:t>Every year of positive emissions shrinks the remaining budget.</w:t>
      </w:r>
    </w:p>
    <w:p w14:paraId="68522A64" w14:textId="77777777" w:rsidR="006614E1" w:rsidRDefault="00000000">
      <w:pPr>
        <w:numPr>
          <w:ilvl w:val="0"/>
          <w:numId w:val="5"/>
        </w:numPr>
        <w:spacing w:after="200"/>
        <w:jc w:val="both"/>
      </w:pPr>
      <w:r>
        <w:t>The later emissions are reduced, the steeper future reductions must be.</w:t>
      </w:r>
    </w:p>
    <w:p w14:paraId="333128E1" w14:textId="77777777" w:rsidR="006614E1" w:rsidRDefault="00000000">
      <w:pPr>
        <w:spacing w:before="240" w:after="240"/>
        <w:jc w:val="both"/>
      </w:pPr>
      <w:r>
        <w:lastRenderedPageBreak/>
        <w:t>This framing turns climate policy into an intertemporal allocation problem: society must decide how quickly to use up a limited remaining emissions budget.</w:t>
      </w:r>
    </w:p>
    <w:p w14:paraId="7FF9FE73" w14:textId="77777777" w:rsidR="006614E1" w:rsidRDefault="00000000">
      <w:pPr>
        <w:spacing w:before="240" w:after="240"/>
        <w:jc w:val="both"/>
      </w:pPr>
      <w:r>
        <w:t>Carbon budgets are therefore central to modern climate policy. They:</w:t>
      </w:r>
    </w:p>
    <w:p w14:paraId="34A38341" w14:textId="77777777" w:rsidR="006614E1" w:rsidRDefault="00000000">
      <w:pPr>
        <w:numPr>
          <w:ilvl w:val="0"/>
          <w:numId w:val="7"/>
        </w:numPr>
        <w:spacing w:before="240" w:after="200"/>
        <w:jc w:val="both"/>
      </w:pPr>
      <w:r>
        <w:t>Translate abstract temperature goals into quantitative constraints.</w:t>
      </w:r>
    </w:p>
    <w:p w14:paraId="7FEF29A7" w14:textId="77777777" w:rsidR="006614E1" w:rsidRDefault="00000000">
      <w:pPr>
        <w:numPr>
          <w:ilvl w:val="0"/>
          <w:numId w:val="7"/>
        </w:numPr>
        <w:spacing w:after="200"/>
        <w:jc w:val="both"/>
      </w:pPr>
      <w:r>
        <w:t>Clarify why temporary emissions reductions are insufficient.</w:t>
      </w:r>
    </w:p>
    <w:p w14:paraId="151DF218" w14:textId="77777777" w:rsidR="006614E1" w:rsidRDefault="00000000">
      <w:pPr>
        <w:numPr>
          <w:ilvl w:val="0"/>
          <w:numId w:val="7"/>
        </w:numPr>
        <w:spacing w:before="240" w:after="200"/>
        <w:jc w:val="both"/>
      </w:pPr>
      <w:r>
        <w:t>Provide the logic behind net-zero targets.</w:t>
      </w:r>
    </w:p>
    <w:p w14:paraId="38DD30F3" w14:textId="77777777" w:rsidR="006614E1" w:rsidRDefault="00000000">
      <w:pPr>
        <w:spacing w:before="240" w:after="200"/>
        <w:jc w:val="both"/>
      </w:pPr>
      <w:r>
        <w:t xml:space="preserve">Once net zero is reached, cumulative emissions stop rising, and temperatures </w:t>
      </w:r>
      <w:proofErr w:type="spellStart"/>
      <w:r>
        <w:t>stabilise</w:t>
      </w:r>
      <w:proofErr w:type="spellEnd"/>
      <w:r>
        <w:t>. As long as emissions remain net positive, warming continues.</w:t>
      </w:r>
    </w:p>
    <w:p w14:paraId="18ABB6E4" w14:textId="77777777" w:rsidR="006614E1" w:rsidRDefault="00000000">
      <w:pPr>
        <w:pStyle w:val="Heading3"/>
      </w:pPr>
      <w:bookmarkStart w:id="14" w:name="_1pjzp4bk7atd" w:colFirst="0" w:colLast="0"/>
      <w:bookmarkEnd w:id="14"/>
      <w:proofErr w:type="spellStart"/>
      <w:r>
        <w:t>Standardised</w:t>
      </w:r>
      <w:proofErr w:type="spellEnd"/>
      <w:r>
        <w:t xml:space="preserve"> Scenario Frameworks: How Future Warming Is Described</w:t>
      </w:r>
    </w:p>
    <w:p w14:paraId="0E940FCA" w14:textId="77777777" w:rsidR="006614E1" w:rsidRDefault="00000000">
      <w:pPr>
        <w:spacing w:before="240" w:after="240"/>
        <w:jc w:val="both"/>
      </w:pPr>
      <w:r>
        <w:t xml:space="preserve">To </w:t>
      </w:r>
      <w:proofErr w:type="spellStart"/>
      <w:r>
        <w:t>analyse</w:t>
      </w:r>
      <w:proofErr w:type="spellEnd"/>
      <w:r>
        <w:t xml:space="preserve"> future climate outcomes consistently, the IPCC uses </w:t>
      </w:r>
      <w:proofErr w:type="spellStart"/>
      <w:r>
        <w:rPr>
          <w:b/>
          <w:bCs/>
        </w:rPr>
        <w:t>standardised</w:t>
      </w:r>
      <w:proofErr w:type="spellEnd"/>
      <w:r>
        <w:rPr>
          <w:b/>
          <w:bCs/>
        </w:rPr>
        <w:t xml:space="preserve"> scenario frameworks</w:t>
      </w:r>
      <w:r>
        <w:t xml:space="preserve">. These do not predict what will </w:t>
      </w:r>
      <w:proofErr w:type="gramStart"/>
      <w:r>
        <w:t>happen, but</w:t>
      </w:r>
      <w:proofErr w:type="gramEnd"/>
      <w:r>
        <w:t xml:space="preserve"> instead describe what </w:t>
      </w:r>
      <w:r>
        <w:rPr>
          <w:i/>
          <w:iCs/>
        </w:rPr>
        <w:t>would</w:t>
      </w:r>
      <w:r>
        <w:t xml:space="preserve"> happen under different assumptions.</w:t>
      </w:r>
    </w:p>
    <w:p w14:paraId="612E6C62" w14:textId="77777777" w:rsidR="006614E1" w:rsidRDefault="00000000">
      <w:pPr>
        <w:pStyle w:val="Heading4"/>
        <w:keepNext w:val="0"/>
        <w:keepLines w:val="0"/>
        <w:jc w:val="both"/>
        <w:rPr>
          <w:i/>
          <w:iCs/>
          <w:color w:val="000000"/>
        </w:rPr>
      </w:pPr>
      <w:bookmarkStart w:id="15" w:name="_gx13snrbfpzl" w:colFirst="0" w:colLast="0"/>
      <w:bookmarkEnd w:id="15"/>
      <w:r>
        <w:rPr>
          <w:i/>
          <w:iCs/>
          <w:color w:val="000000"/>
        </w:rPr>
        <w:t>Representative Concentration Pathways (RCPs)</w:t>
      </w:r>
    </w:p>
    <w:p w14:paraId="4D00C7B0" w14:textId="77777777" w:rsidR="006614E1" w:rsidRDefault="00000000">
      <w:pPr>
        <w:spacing w:before="240" w:after="240"/>
        <w:jc w:val="both"/>
      </w:pPr>
      <w:r>
        <w:rPr>
          <w:b/>
          <w:bCs/>
        </w:rPr>
        <w:t>RCPs</w:t>
      </w:r>
      <w:r>
        <w:t xml:space="preserve"> are defined by the level of radiative forcing in 2100, measured in watts per square </w:t>
      </w:r>
      <w:proofErr w:type="spellStart"/>
      <w:r>
        <w:t>metre</w:t>
      </w:r>
      <w:proofErr w:type="spellEnd"/>
      <w:r>
        <w:t>. Examples include: RCP2.6, RCP4.5, and RCP8.5.</w:t>
      </w:r>
    </w:p>
    <w:p w14:paraId="31F98DD8" w14:textId="77777777" w:rsidR="006614E1" w:rsidRDefault="00000000">
      <w:pPr>
        <w:spacing w:before="240" w:after="240"/>
        <w:jc w:val="both"/>
      </w:pPr>
      <w:r>
        <w:t xml:space="preserve">RCPs </w:t>
      </w:r>
      <w:r>
        <w:rPr>
          <w:b/>
          <w:bCs/>
        </w:rPr>
        <w:t>describe outcomes, not how the world gets there</w:t>
      </w:r>
      <w:r>
        <w:t>. They specify the physical forcing applied to the climate system, without detailing the socioeconomic conditions that generate it.</w:t>
      </w:r>
    </w:p>
    <w:p w14:paraId="4DC36851" w14:textId="77777777" w:rsidR="006614E1" w:rsidRDefault="00000000">
      <w:pPr>
        <w:pStyle w:val="Heading4"/>
        <w:keepNext w:val="0"/>
        <w:keepLines w:val="0"/>
        <w:jc w:val="both"/>
        <w:rPr>
          <w:i/>
          <w:iCs/>
          <w:color w:val="000000"/>
        </w:rPr>
      </w:pPr>
      <w:bookmarkStart w:id="16" w:name="_ornhyjs3zhe4" w:colFirst="0" w:colLast="0"/>
      <w:bookmarkEnd w:id="16"/>
      <w:r>
        <w:rPr>
          <w:i/>
          <w:iCs/>
          <w:color w:val="000000"/>
        </w:rPr>
        <w:t>Shared Socioeconomic Pathways (SSPs)</w:t>
      </w:r>
    </w:p>
    <w:p w14:paraId="5C85C4E4" w14:textId="77777777" w:rsidR="006614E1" w:rsidRDefault="00000000">
      <w:pPr>
        <w:spacing w:before="240" w:after="240"/>
        <w:jc w:val="both"/>
      </w:pPr>
      <w:r>
        <w:rPr>
          <w:b/>
          <w:bCs/>
        </w:rPr>
        <w:t>SSPs</w:t>
      </w:r>
      <w:r>
        <w:t xml:space="preserve"> extend this framework by combining emissions trajectories with narratives about how the global economy and society evolve (and can be seen on the figure above).</w:t>
      </w:r>
    </w:p>
    <w:p w14:paraId="12DF3406" w14:textId="77777777" w:rsidR="006614E1" w:rsidRDefault="00000000">
      <w:pPr>
        <w:spacing w:before="240" w:after="240"/>
        <w:jc w:val="both"/>
      </w:pPr>
      <w:r>
        <w:t>They incorporate assumptions about economic growth, technological change, institutions and governance, and inequality and development</w:t>
      </w:r>
    </w:p>
    <w:p w14:paraId="17DB91D0" w14:textId="77777777" w:rsidR="006614E1" w:rsidRDefault="00000000">
      <w:pPr>
        <w:spacing w:before="240" w:after="240"/>
        <w:jc w:val="both"/>
      </w:pPr>
      <w:r>
        <w:t>Commonly cited examples include:</w:t>
      </w:r>
    </w:p>
    <w:p w14:paraId="5D75A4EA" w14:textId="77777777" w:rsidR="006614E1" w:rsidRDefault="00000000">
      <w:pPr>
        <w:numPr>
          <w:ilvl w:val="0"/>
          <w:numId w:val="18"/>
        </w:numPr>
        <w:spacing w:before="240" w:after="200"/>
        <w:jc w:val="both"/>
      </w:pPr>
      <w:r>
        <w:t>SSP1-1.9: consistent with limiting warming to around 1.5°C.</w:t>
      </w:r>
    </w:p>
    <w:p w14:paraId="0544825F" w14:textId="77777777" w:rsidR="006614E1" w:rsidRDefault="00000000">
      <w:pPr>
        <w:numPr>
          <w:ilvl w:val="0"/>
          <w:numId w:val="18"/>
        </w:numPr>
        <w:spacing w:after="200"/>
        <w:jc w:val="both"/>
      </w:pPr>
      <w:r>
        <w:t>SSP1-2.6: around 2.0°C.</w:t>
      </w:r>
    </w:p>
    <w:p w14:paraId="304A366D" w14:textId="77777777" w:rsidR="006614E1" w:rsidRDefault="00000000">
      <w:pPr>
        <w:numPr>
          <w:ilvl w:val="0"/>
          <w:numId w:val="18"/>
        </w:numPr>
        <w:spacing w:after="200"/>
        <w:jc w:val="both"/>
      </w:pPr>
      <w:r>
        <w:t xml:space="preserve">SSP2-4.5: around 2.6–2.7°C, often described as </w:t>
      </w:r>
      <w:r>
        <w:rPr>
          <w:i/>
          <w:iCs/>
        </w:rPr>
        <w:t>“Middle of the Road”.</w:t>
      </w:r>
    </w:p>
    <w:p w14:paraId="2A16CB1E" w14:textId="77777777" w:rsidR="006614E1" w:rsidRDefault="00000000">
      <w:pPr>
        <w:numPr>
          <w:ilvl w:val="0"/>
          <w:numId w:val="18"/>
        </w:numPr>
        <w:spacing w:before="240" w:after="200"/>
        <w:jc w:val="both"/>
      </w:pPr>
      <w:r>
        <w:t>SSP3-7.0 and SSP5-8.5: high-warming futures.</w:t>
      </w:r>
    </w:p>
    <w:p w14:paraId="477AF75E" w14:textId="77777777" w:rsidR="006614E1" w:rsidRDefault="00000000">
      <w:pPr>
        <w:spacing w:before="240" w:after="240"/>
        <w:jc w:val="both"/>
      </w:pPr>
      <w:r>
        <w:lastRenderedPageBreak/>
        <w:t>SSPs provide a common language for comparing studies and interpreting results across models and disciplines.</w:t>
      </w:r>
    </w:p>
    <w:p w14:paraId="5370B733" w14:textId="77777777" w:rsidR="006614E1" w:rsidRDefault="00000000">
      <w:pPr>
        <w:spacing w:before="240" w:after="240"/>
        <w:jc w:val="both"/>
      </w:pPr>
      <w:r>
        <w:t>The key point is that SSPs</w:t>
      </w:r>
      <w:r>
        <w:rPr>
          <w:b/>
          <w:bCs/>
        </w:rPr>
        <w:t xml:space="preserve"> are reference scenarios, not predictions</w:t>
      </w:r>
      <w:r>
        <w:t>. They are tools for structured analysis, not forecasts of where the world is heading.</w:t>
      </w:r>
    </w:p>
    <w:p w14:paraId="26310881" w14:textId="77777777" w:rsidR="006614E1" w:rsidRDefault="00000000">
      <w:pPr>
        <w:pStyle w:val="Heading4"/>
        <w:rPr>
          <w:i/>
          <w:iCs/>
          <w:color w:val="000000"/>
        </w:rPr>
      </w:pPr>
      <w:bookmarkStart w:id="17" w:name="_poedxkfsyejd" w:colFirst="0" w:colLast="0"/>
      <w:bookmarkEnd w:id="17"/>
      <w:r>
        <w:rPr>
          <w:i/>
          <w:iCs/>
          <w:color w:val="000000"/>
        </w:rPr>
        <w:t>Why Carbon Sense Uses SSP2-4.5</w:t>
      </w:r>
    </w:p>
    <w:p w14:paraId="422002B2" w14:textId="77777777" w:rsidR="006614E1" w:rsidRDefault="00000000">
      <w:pPr>
        <w:spacing w:before="240" w:after="240"/>
        <w:jc w:val="both"/>
      </w:pPr>
      <w:r>
        <w:t xml:space="preserve">Carbon Sense uses </w:t>
      </w:r>
      <w:r>
        <w:rPr>
          <w:b/>
          <w:bCs/>
        </w:rPr>
        <w:t>SSP2-4.5</w:t>
      </w:r>
      <w:r>
        <w:t xml:space="preserve"> on its </w:t>
      </w:r>
      <w:hyperlink r:id="rId20">
        <w:r>
          <w:rPr>
            <w:color w:val="1155CC"/>
            <w:u w:val="single"/>
          </w:rPr>
          <w:t>homepage</w:t>
        </w:r>
      </w:hyperlink>
      <w:r>
        <w:t xml:space="preserve"> because it most closely aligns with where the world appears to be heading under </w:t>
      </w:r>
      <w:r>
        <w:rPr>
          <w:b/>
          <w:bCs/>
        </w:rPr>
        <w:t>current policies and actions</w:t>
      </w:r>
      <w:r>
        <w:t>.</w:t>
      </w:r>
    </w:p>
    <w:p w14:paraId="61144B97" w14:textId="77777777" w:rsidR="006614E1" w:rsidRDefault="00000000">
      <w:pPr>
        <w:spacing w:before="240" w:after="240"/>
        <w:jc w:val="both"/>
      </w:pPr>
      <w:r>
        <w:t xml:space="preserve">SSP2-4.5 is often described as a </w:t>
      </w:r>
      <w:r>
        <w:rPr>
          <w:i/>
          <w:iCs/>
        </w:rPr>
        <w:t>“Middle of the Road”</w:t>
      </w:r>
      <w:r>
        <w:t xml:space="preserve"> pathway. It assumes:</w:t>
      </w:r>
    </w:p>
    <w:p w14:paraId="62A4D365" w14:textId="77777777" w:rsidR="006614E1" w:rsidRDefault="00000000">
      <w:pPr>
        <w:numPr>
          <w:ilvl w:val="0"/>
          <w:numId w:val="4"/>
        </w:numPr>
        <w:spacing w:before="240" w:after="200"/>
        <w:jc w:val="both"/>
      </w:pPr>
      <w:r>
        <w:t>Incremental technological progress.</w:t>
      </w:r>
    </w:p>
    <w:p w14:paraId="684EA6FA" w14:textId="77777777" w:rsidR="006614E1" w:rsidRDefault="00000000">
      <w:pPr>
        <w:numPr>
          <w:ilvl w:val="0"/>
          <w:numId w:val="4"/>
        </w:numPr>
        <w:spacing w:after="200"/>
        <w:jc w:val="both"/>
      </w:pPr>
      <w:r>
        <w:t>Uneven policy implementation.</w:t>
      </w:r>
    </w:p>
    <w:p w14:paraId="2C68A421" w14:textId="77777777" w:rsidR="006614E1" w:rsidRDefault="00000000">
      <w:pPr>
        <w:numPr>
          <w:ilvl w:val="0"/>
          <w:numId w:val="4"/>
        </w:numPr>
        <w:spacing w:after="200"/>
        <w:jc w:val="both"/>
      </w:pPr>
      <w:r>
        <w:t>Continued economic growth.</w:t>
      </w:r>
    </w:p>
    <w:p w14:paraId="456D61A0" w14:textId="77777777" w:rsidR="006614E1" w:rsidRDefault="00000000">
      <w:pPr>
        <w:numPr>
          <w:ilvl w:val="0"/>
          <w:numId w:val="4"/>
        </w:numPr>
        <w:spacing w:before="240" w:after="200"/>
        <w:jc w:val="both"/>
      </w:pPr>
      <w:r>
        <w:t>No dramatic global acceleration in climate ambition.</w:t>
      </w:r>
    </w:p>
    <w:p w14:paraId="10471696" w14:textId="77777777" w:rsidR="006614E1" w:rsidRDefault="00000000">
      <w:pPr>
        <w:spacing w:before="240" w:after="240"/>
        <w:jc w:val="both"/>
      </w:pPr>
      <w:r>
        <w:t xml:space="preserve">It does not assume coordinated, transformative </w:t>
      </w:r>
      <w:proofErr w:type="spellStart"/>
      <w:r>
        <w:t>decarbonisation</w:t>
      </w:r>
      <w:proofErr w:type="spellEnd"/>
      <w:r>
        <w:t xml:space="preserve"> at the pace required for 1.5°C. Nor does it assume a breakdown of global cooperation or a return to unchecked fossil expansion. In other words, SSP2-4.5 reflects a world that is making progress but not fast enough.</w:t>
      </w:r>
    </w:p>
    <w:p w14:paraId="123A3BB5" w14:textId="77777777" w:rsidR="006614E1" w:rsidRDefault="00000000">
      <w:pPr>
        <w:spacing w:before="240" w:after="240"/>
        <w:jc w:val="both"/>
      </w:pPr>
      <w:r>
        <w:t xml:space="preserve">Importantly, SSP2-4.5 is widely used as a </w:t>
      </w:r>
      <w:r>
        <w:rPr>
          <w:b/>
          <w:bCs/>
        </w:rPr>
        <w:t>baseline reference scenario</w:t>
      </w:r>
      <w:r>
        <w:t xml:space="preserve"> in policy analysis. It allows comparisons across studies, models, and reports. Using it does not imply that the world is locked into that pathway. Rather, it provides a structured benchmark against which progress, or lack thereof, can be evaluated.</w:t>
      </w:r>
    </w:p>
    <w:p w14:paraId="5F113F9B" w14:textId="77777777" w:rsidR="006614E1" w:rsidRDefault="00000000">
      <w:pPr>
        <w:pStyle w:val="Heading2"/>
      </w:pPr>
      <w:bookmarkStart w:id="18" w:name="_5hpp5cp9hn2c" w:colFirst="0" w:colLast="0"/>
      <w:bookmarkEnd w:id="18"/>
      <w:r>
        <w:t>Where Current Policies Lead: Emissions Pathways</w:t>
      </w:r>
    </w:p>
    <w:p w14:paraId="33C207A2" w14:textId="77777777" w:rsidR="006614E1" w:rsidRDefault="00000000">
      <w:pPr>
        <w:spacing w:before="240" w:after="240"/>
        <w:jc w:val="both"/>
      </w:pPr>
      <w:r>
        <w:t xml:space="preserve">While SSPs provide structured reference futures, several independent groups attempt to estimate where current real-world policies are </w:t>
      </w:r>
      <w:proofErr w:type="gramStart"/>
      <w:r>
        <w:t>actually taking</w:t>
      </w:r>
      <w:proofErr w:type="gramEnd"/>
      <w:r>
        <w:t xml:space="preserve"> us.</w:t>
      </w:r>
    </w:p>
    <w:p w14:paraId="35ABA207" w14:textId="77777777" w:rsidR="006614E1" w:rsidRDefault="00000000">
      <w:pPr>
        <w:spacing w:before="240" w:after="240"/>
        <w:jc w:val="both"/>
      </w:pPr>
      <w:r>
        <w:t xml:space="preserve">One of the most widely cited is </w:t>
      </w:r>
      <w:hyperlink r:id="rId21">
        <w:r>
          <w:rPr>
            <w:b/>
            <w:bCs/>
            <w:color w:val="1155CC"/>
            <w:u w:val="single"/>
          </w:rPr>
          <w:t>Climate Action Tracker</w:t>
        </w:r>
      </w:hyperlink>
      <w:r>
        <w:t>. It aggregates national legislation, regulatory changes, and energy system developments to estimate implied temperature outcomes.</w:t>
      </w:r>
    </w:p>
    <w:p w14:paraId="1473A7A9" w14:textId="77777777" w:rsidR="006614E1" w:rsidRDefault="00000000">
      <w:pPr>
        <w:spacing w:before="240" w:after="240"/>
        <w:jc w:val="both"/>
      </w:pPr>
      <w:r>
        <w:t>These assessments typically distinguish between three categories:</w:t>
      </w:r>
    </w:p>
    <w:p w14:paraId="33F3ABF4" w14:textId="77777777" w:rsidR="006614E1" w:rsidRDefault="00000000">
      <w:pPr>
        <w:numPr>
          <w:ilvl w:val="0"/>
          <w:numId w:val="11"/>
        </w:numPr>
        <w:spacing w:before="240" w:after="200"/>
        <w:jc w:val="both"/>
      </w:pPr>
      <w:r>
        <w:rPr>
          <w:b/>
          <w:bCs/>
        </w:rPr>
        <w:t>Current policies</w:t>
      </w:r>
      <w:r>
        <w:t xml:space="preserve"> imply approximately </w:t>
      </w:r>
      <w:r>
        <w:rPr>
          <w:b/>
          <w:bCs/>
        </w:rPr>
        <w:t>2.6–2.7°C</w:t>
      </w:r>
      <w:r>
        <w:t xml:space="preserve"> of warming by 2100.</w:t>
      </w:r>
    </w:p>
    <w:p w14:paraId="261873E7" w14:textId="77777777" w:rsidR="006614E1" w:rsidRDefault="00000000">
      <w:pPr>
        <w:numPr>
          <w:ilvl w:val="0"/>
          <w:numId w:val="11"/>
        </w:numPr>
        <w:spacing w:after="200"/>
        <w:jc w:val="both"/>
      </w:pPr>
      <w:r>
        <w:rPr>
          <w:b/>
          <w:bCs/>
        </w:rPr>
        <w:t>Pledges and targets</w:t>
      </w:r>
      <w:r>
        <w:t xml:space="preserve"> imply approximately </w:t>
      </w:r>
      <w:r>
        <w:rPr>
          <w:b/>
          <w:bCs/>
        </w:rPr>
        <w:t>2.1–2.3°C</w:t>
      </w:r>
      <w:r>
        <w:t>, if fully implemented.</w:t>
      </w:r>
    </w:p>
    <w:p w14:paraId="13232A9B" w14:textId="77777777" w:rsidR="006614E1" w:rsidRDefault="00000000">
      <w:pPr>
        <w:numPr>
          <w:ilvl w:val="0"/>
          <w:numId w:val="11"/>
        </w:numPr>
        <w:spacing w:before="240" w:after="200"/>
        <w:jc w:val="both"/>
      </w:pPr>
      <w:r>
        <w:rPr>
          <w:b/>
          <w:bCs/>
        </w:rPr>
        <w:t>1.5°C-compatible pathways</w:t>
      </w:r>
      <w:r>
        <w:t xml:space="preserve"> require substantially stronger and faster reductions.</w:t>
      </w:r>
    </w:p>
    <w:p w14:paraId="47262CF0" w14:textId="77777777" w:rsidR="006614E1" w:rsidRDefault="00000000">
      <w:pPr>
        <w:spacing w:before="240" w:after="240"/>
        <w:jc w:val="both"/>
      </w:pPr>
      <w:r>
        <w:lastRenderedPageBreak/>
        <w:t xml:space="preserve">The gap between current policies and stated long-term ambitions is often referred to as the </w:t>
      </w:r>
      <w:r>
        <w:rPr>
          <w:b/>
          <w:bCs/>
        </w:rPr>
        <w:t>implementation gap</w:t>
      </w:r>
      <w:r>
        <w:t>. Governments have adopted targets since the Paris Agreement, including widespread net-zero commitments. However, near-term policy settings frequently remain inconsistent with those long-term goals.</w:t>
      </w:r>
    </w:p>
    <w:p w14:paraId="1E96C89C" w14:textId="77777777" w:rsidR="006614E1" w:rsidRDefault="00000000">
      <w:pPr>
        <w:spacing w:before="240" w:after="240"/>
        <w:jc w:val="both"/>
      </w:pPr>
      <w:r>
        <w:t>This divergence between ambition and action is one of the defining features of contemporary climate policy — and a central focus of climate economics.</w:t>
      </w:r>
    </w:p>
    <w:p w14:paraId="199ABED9" w14:textId="77777777" w:rsidR="006614E1" w:rsidRDefault="00000000">
      <w:pPr>
        <w:pStyle w:val="Heading3"/>
      </w:pPr>
      <w:bookmarkStart w:id="19" w:name="_clnk2ezcmuay" w:colFirst="0" w:colLast="0"/>
      <w:bookmarkEnd w:id="19"/>
      <w:r>
        <w:t>The Carbon Clock: What Carbon Sense Is Counting</w:t>
      </w:r>
    </w:p>
    <w:p w14:paraId="60984AD2" w14:textId="77777777" w:rsidR="006614E1" w:rsidRDefault="00000000">
      <w:pPr>
        <w:jc w:val="both"/>
      </w:pPr>
      <w:r>
        <w:t xml:space="preserve">The Carbon Sense </w:t>
      </w:r>
      <w:hyperlink r:id="rId22">
        <w:r>
          <w:rPr>
            <w:color w:val="1155CC"/>
            <w:u w:val="single"/>
          </w:rPr>
          <w:t>homepage</w:t>
        </w:r>
      </w:hyperlink>
      <w:r>
        <w:t xml:space="preserve"> includes a live carbon clock. It is a simple device but has a serious purpose. It displays:</w:t>
      </w:r>
    </w:p>
    <w:p w14:paraId="4D7B38C6" w14:textId="77777777" w:rsidR="006614E1" w:rsidRDefault="00000000">
      <w:pPr>
        <w:numPr>
          <w:ilvl w:val="0"/>
          <w:numId w:val="9"/>
        </w:numPr>
        <w:spacing w:before="240" w:after="200"/>
        <w:jc w:val="both"/>
      </w:pPr>
      <w:r>
        <w:t>Cumulative CO₂-equivalent (</w:t>
      </w:r>
      <w:proofErr w:type="spellStart"/>
      <w:r>
        <w:t>CO₂e</w:t>
      </w:r>
      <w:proofErr w:type="spellEnd"/>
      <w:r>
        <w:t>) emissions since 1 January 2026, and</w:t>
      </w:r>
    </w:p>
    <w:p w14:paraId="0B3DDFA5" w14:textId="77777777" w:rsidR="006614E1" w:rsidRDefault="00000000">
      <w:pPr>
        <w:numPr>
          <w:ilvl w:val="0"/>
          <w:numId w:val="9"/>
        </w:numPr>
        <w:spacing w:before="240" w:after="200"/>
        <w:jc w:val="both"/>
      </w:pPr>
      <w:r>
        <w:t>The implied rate of emissions per second.</w:t>
      </w:r>
      <w:r>
        <w:rPr>
          <w:vertAlign w:val="superscript"/>
        </w:rPr>
        <w:footnoteReference w:id="8"/>
      </w:r>
    </w:p>
    <w:p w14:paraId="5FB97D01" w14:textId="77777777" w:rsidR="006614E1" w:rsidRDefault="00000000">
      <w:pPr>
        <w:spacing w:before="240" w:after="240"/>
        <w:jc w:val="both"/>
        <w:rPr>
          <w:b/>
          <w:bCs/>
          <w:color w:val="000000"/>
          <w:sz w:val="26"/>
          <w:szCs w:val="26"/>
        </w:rPr>
      </w:pPr>
      <w:r>
        <w:t>It does so by assuming a constant annual global emissions rate and accumulating emissions through time.</w:t>
      </w:r>
    </w:p>
    <w:p w14:paraId="69FD74D0" w14:textId="77777777" w:rsidR="006614E1" w:rsidRDefault="00000000">
      <w:pPr>
        <w:spacing w:before="240" w:after="240"/>
        <w:jc w:val="both"/>
      </w:pPr>
      <w:r>
        <w:t xml:space="preserve">For 2026, the clock assumes approximately </w:t>
      </w:r>
      <w:r>
        <w:rPr>
          <w:b/>
          <w:bCs/>
        </w:rPr>
        <w:t xml:space="preserve">60.4 </w:t>
      </w:r>
      <w:proofErr w:type="spellStart"/>
      <w:r>
        <w:rPr>
          <w:b/>
          <w:bCs/>
        </w:rPr>
        <w:t>gigatonnes</w:t>
      </w:r>
      <w:proofErr w:type="spellEnd"/>
      <w:r>
        <w:rPr>
          <w:b/>
          <w:bCs/>
        </w:rPr>
        <w:t xml:space="preserve"> of </w:t>
      </w:r>
      <w:proofErr w:type="spellStart"/>
      <w:r>
        <w:rPr>
          <w:b/>
          <w:bCs/>
        </w:rPr>
        <w:t>CO₂e</w:t>
      </w:r>
      <w:proofErr w:type="spellEnd"/>
      <w:r>
        <w:rPr>
          <w:b/>
          <w:bCs/>
        </w:rPr>
        <w:t xml:space="preserve"> per year</w:t>
      </w:r>
      <w:r>
        <w:t xml:space="preserve">, based on a global emissions forecast from the </w:t>
      </w:r>
      <w:hyperlink r:id="rId23">
        <w:r>
          <w:rPr>
            <w:color w:val="1155CC"/>
            <w:u w:val="single"/>
          </w:rPr>
          <w:t>World Emissions Clock</w:t>
        </w:r>
      </w:hyperlink>
      <w:r>
        <w:t>.</w:t>
      </w:r>
    </w:p>
    <w:p w14:paraId="3B774D84" w14:textId="77777777" w:rsidR="006614E1" w:rsidRDefault="00000000">
      <w:pPr>
        <w:spacing w:before="240" w:after="240"/>
        <w:jc w:val="both"/>
      </w:pPr>
      <w:r>
        <w:t xml:space="preserve">At that rate, the world emits </w:t>
      </w:r>
      <w:r>
        <w:rPr>
          <w:b/>
          <w:bCs/>
        </w:rPr>
        <w:t xml:space="preserve">1,914 </w:t>
      </w:r>
      <w:proofErr w:type="spellStart"/>
      <w:r>
        <w:rPr>
          <w:b/>
          <w:bCs/>
        </w:rPr>
        <w:t>tonnes</w:t>
      </w:r>
      <w:proofErr w:type="spellEnd"/>
      <w:r>
        <w:rPr>
          <w:b/>
          <w:bCs/>
        </w:rPr>
        <w:t xml:space="preserve"> of </w:t>
      </w:r>
      <w:proofErr w:type="spellStart"/>
      <w:r>
        <w:rPr>
          <w:b/>
          <w:bCs/>
        </w:rPr>
        <w:t>CO₂e</w:t>
      </w:r>
      <w:proofErr w:type="spellEnd"/>
      <w:r>
        <w:rPr>
          <w:b/>
          <w:bCs/>
        </w:rPr>
        <w:t xml:space="preserve"> per second</w:t>
      </w:r>
      <w:r>
        <w:t>.</w:t>
      </w:r>
    </w:p>
    <w:p w14:paraId="6AE5A7C1" w14:textId="77777777" w:rsidR="006614E1" w:rsidRDefault="00000000">
      <w:pPr>
        <w:pStyle w:val="Heading2"/>
        <w:jc w:val="both"/>
      </w:pPr>
      <w:bookmarkStart w:id="20" w:name="_xkzwvk524h10" w:colFirst="0" w:colLast="0"/>
      <w:bookmarkEnd w:id="20"/>
      <w:r>
        <w:t>Putting It All Together</w:t>
      </w:r>
    </w:p>
    <w:p w14:paraId="0761790C" w14:textId="77777777" w:rsidR="006614E1" w:rsidRDefault="00000000">
      <w:pPr>
        <w:spacing w:after="240"/>
        <w:jc w:val="both"/>
      </w:pPr>
      <w:r>
        <w:t>Climate economics ultimately rests on a chain of reasoning that links physical science, international policy, and economic decision-making.</w:t>
      </w:r>
    </w:p>
    <w:p w14:paraId="416D846C" w14:textId="77777777" w:rsidR="006614E1" w:rsidRDefault="00000000">
      <w:pPr>
        <w:spacing w:before="240" w:after="240"/>
        <w:jc w:val="both"/>
      </w:pPr>
      <w:r>
        <w:t>The starting point is the basic physics of the climate system. Human activities release greenhouse gases, particularly carbon dioxide, into the atmosphere. These gases strengthen the greenhouse effect by increasing radiative forcing and trapping additional heat within the Earth’s climate system. As atmospheric concentrations rise, global temperatures increase.</w:t>
      </w:r>
    </w:p>
    <w:p w14:paraId="217DEC84" w14:textId="77777777" w:rsidR="006614E1" w:rsidRDefault="00000000">
      <w:pPr>
        <w:spacing w:before="240" w:after="240"/>
        <w:jc w:val="both"/>
      </w:pPr>
      <w:r>
        <w:t>Climate science has established several key facts about this relationship. First, global temperatures have already increased by roughly 1.2°C relative to pre-industrial levels. Second, the risks associated with climate change rise sharply as warming increases, particularly beyond 1.5°C and 2°C. These thresholds therefore serve as focal points for international climate policy.</w:t>
      </w:r>
    </w:p>
    <w:p w14:paraId="76E75027" w14:textId="77777777" w:rsidR="006614E1" w:rsidRDefault="00000000">
      <w:pPr>
        <w:spacing w:before="240" w:after="240"/>
        <w:jc w:val="both"/>
      </w:pPr>
      <w:r>
        <w:t xml:space="preserve">At the same time, climate science also provides a crucial simplifying insight for economists: global warming depends largely on </w:t>
      </w:r>
      <w:r>
        <w:rPr>
          <w:b/>
          <w:bCs/>
        </w:rPr>
        <w:t>cumulative carbon dioxide emissions</w:t>
      </w:r>
      <w:r>
        <w:t xml:space="preserve">. The Transient Climate Response to Cumulative Emissions (TCRE) shows that the relationship between total emissions </w:t>
      </w:r>
      <w:r>
        <w:lastRenderedPageBreak/>
        <w:t xml:space="preserve">and temperature increases is approximately linear. This means every additional </w:t>
      </w:r>
      <w:proofErr w:type="spellStart"/>
      <w:r>
        <w:t>tonne</w:t>
      </w:r>
      <w:proofErr w:type="spellEnd"/>
      <w:r>
        <w:t xml:space="preserve"> of CO₂ contributes to warming, regardless of when it is emitted.</w:t>
      </w:r>
    </w:p>
    <w:p w14:paraId="22FADDF5" w14:textId="77777777" w:rsidR="006614E1" w:rsidRDefault="00000000">
      <w:pPr>
        <w:spacing w:before="240" w:after="240"/>
        <w:jc w:val="both"/>
      </w:pPr>
      <w:r>
        <w:t xml:space="preserve">From this relationship emerges the concept of </w:t>
      </w:r>
      <w:r>
        <w:rPr>
          <w:b/>
          <w:bCs/>
        </w:rPr>
        <w:t>carbon budgets</w:t>
      </w:r>
      <w:r>
        <w:t>. If cumulative emissions determine temperature outcomes, then limiting warming to a given level implies a finite amount of CO₂ that can be emitted globally. These budgets translate temperature goals, such as those in the Paris Agreement, into quantitative constraints on emissions.</w:t>
      </w:r>
    </w:p>
    <w:p w14:paraId="0D21C82A" w14:textId="77777777" w:rsidR="006614E1" w:rsidRDefault="00000000">
      <w:pPr>
        <w:spacing w:before="240" w:after="240"/>
        <w:jc w:val="both"/>
      </w:pPr>
      <w:r>
        <w:t>International climate policy is therefore structured around these scientific constraints. The United Nations Framework Convention on Climate Change established the institutional framework for global cooperation. The Kyoto Protocol introduced the first binding emissions targets and market-based mechanisms. The Paris Agreement then shifted toward universal participation through nationally determined contributions, anchored around the goal of limiting warming to well below 2°C and pursuing efforts to limit it to 1.5°C.</w:t>
      </w:r>
    </w:p>
    <w:p w14:paraId="6408A3A9" w14:textId="77777777" w:rsidR="006614E1" w:rsidRDefault="00000000">
      <w:pPr>
        <w:spacing w:before="240" w:after="240"/>
        <w:jc w:val="both"/>
      </w:pPr>
      <w:r>
        <w:t xml:space="preserve">To </w:t>
      </w:r>
      <w:proofErr w:type="spellStart"/>
      <w:r>
        <w:t>analyse</w:t>
      </w:r>
      <w:proofErr w:type="spellEnd"/>
      <w:r>
        <w:t xml:space="preserve"> possible futures within this framework, the IPCC developed </w:t>
      </w:r>
      <w:proofErr w:type="spellStart"/>
      <w:r>
        <w:rPr>
          <w:b/>
          <w:bCs/>
        </w:rPr>
        <w:t>standardised</w:t>
      </w:r>
      <w:proofErr w:type="spellEnd"/>
      <w:r>
        <w:rPr>
          <w:b/>
          <w:bCs/>
        </w:rPr>
        <w:t xml:space="preserve"> scenario frameworks</w:t>
      </w:r>
      <w:r>
        <w:t>, including Representative Concentration Pathways and Shared Socioeconomic Pathways. These scenarios provide structured descriptions of how emissions, economic development, and policy could evolve under different assumptions.</w:t>
      </w:r>
    </w:p>
    <w:p w14:paraId="3A7B7146" w14:textId="77777777" w:rsidR="006614E1" w:rsidRDefault="00000000">
      <w:pPr>
        <w:spacing w:before="240" w:after="240"/>
        <w:jc w:val="both"/>
      </w:pPr>
      <w:r>
        <w:t xml:space="preserve">In parallel, independent groups such as Climate Action Tracker </w:t>
      </w:r>
      <w:proofErr w:type="spellStart"/>
      <w:r>
        <w:t>analyse</w:t>
      </w:r>
      <w:proofErr w:type="spellEnd"/>
      <w:r>
        <w:t xml:space="preserve"> current policies to estimate where the world is </w:t>
      </w:r>
      <w:proofErr w:type="gramStart"/>
      <w:r>
        <w:t>actually heading</w:t>
      </w:r>
      <w:proofErr w:type="gramEnd"/>
      <w:r>
        <w:t xml:space="preserve">. Their assessments suggest that existing policies are broadly consistent with around </w:t>
      </w:r>
      <w:r>
        <w:rPr>
          <w:b/>
          <w:bCs/>
        </w:rPr>
        <w:t>2.6–2.7°C of warming</w:t>
      </w:r>
      <w:r>
        <w:t>, while stated long-term pledges imply somewhat lower outcomes if fully implemented. The difference between these two trajectories highlights the persistent gap between policy ambition and policy implementation.</w:t>
      </w:r>
    </w:p>
    <w:p w14:paraId="2CB54CF8" w14:textId="77777777" w:rsidR="006614E1" w:rsidRDefault="00000000">
      <w:pPr>
        <w:spacing w:before="240" w:after="240"/>
        <w:jc w:val="both"/>
      </w:pPr>
      <w:r>
        <w:t xml:space="preserve">Taken together, these elements show that climate change is not merely an environmental issue. It is fundamentally an </w:t>
      </w:r>
      <w:r>
        <w:rPr>
          <w:b/>
          <w:bCs/>
        </w:rPr>
        <w:t>economic problem of decision-making under constraint</w:t>
      </w:r>
      <w:r>
        <w:t>.</w:t>
      </w:r>
    </w:p>
    <w:p w14:paraId="425684F5" w14:textId="77777777" w:rsidR="006614E1" w:rsidRDefault="00000000">
      <w:pPr>
        <w:spacing w:before="240" w:after="240"/>
        <w:jc w:val="both"/>
      </w:pPr>
      <w:r>
        <w:t>Societies face a limited carbon budget, uncertain future damages, and substantial differences in income, vulnerability, and responsibility across countries. Policymakers must decide how quickly to reduce emissions, how to allocate mitigation efforts across regions and sectors, and how to balance short-term economic costs against long-term climate risks.</w:t>
      </w:r>
    </w:p>
    <w:p w14:paraId="0C37940F" w14:textId="77777777" w:rsidR="006614E1" w:rsidRDefault="00000000">
      <w:pPr>
        <w:spacing w:before="240" w:after="240"/>
        <w:jc w:val="both"/>
      </w:pPr>
      <w:r>
        <w:t>Climate economics therefore studies how these choices can be made efficiently and equitably. By combining insights from climate science with economic analysis, it provides the framework used to design carbon pricing systems, evaluate climate policies, and assess the long-term consequences of different emissions pathways.</w:t>
      </w:r>
    </w:p>
    <w:p w14:paraId="4B37A9E3" w14:textId="77777777" w:rsidR="006614E1" w:rsidRDefault="00000000">
      <w:pPr>
        <w:pStyle w:val="Heading2"/>
        <w:jc w:val="both"/>
      </w:pPr>
      <w:bookmarkStart w:id="21" w:name="_3511p38atrfh" w:colFirst="0" w:colLast="0"/>
      <w:bookmarkEnd w:id="21"/>
      <w:r>
        <w:t>Annex: Greenhouse Gases and CO₂-Equivalence (</w:t>
      </w:r>
      <w:proofErr w:type="spellStart"/>
      <w:r>
        <w:t>CO₂e</w:t>
      </w:r>
      <w:proofErr w:type="spellEnd"/>
      <w:r>
        <w:t>)</w:t>
      </w:r>
    </w:p>
    <w:p w14:paraId="317D4A46" w14:textId="77777777" w:rsidR="006614E1" w:rsidRDefault="00000000">
      <w:pPr>
        <w:spacing w:after="240"/>
        <w:jc w:val="both"/>
      </w:pPr>
      <w:r>
        <w:t xml:space="preserve">Climate policy covers </w:t>
      </w:r>
      <w:r>
        <w:rPr>
          <w:b/>
          <w:bCs/>
        </w:rPr>
        <w:t>all greenhouse gases (GHGs)</w:t>
      </w:r>
      <w:r>
        <w:t>, not only carbon dioxide. These include:</w:t>
      </w:r>
    </w:p>
    <w:p w14:paraId="2E972CFB" w14:textId="77777777" w:rsidR="006614E1" w:rsidRDefault="00000000">
      <w:pPr>
        <w:numPr>
          <w:ilvl w:val="0"/>
          <w:numId w:val="12"/>
        </w:numPr>
        <w:spacing w:before="240" w:after="200"/>
        <w:jc w:val="both"/>
      </w:pPr>
      <w:r>
        <w:rPr>
          <w:b/>
          <w:bCs/>
        </w:rPr>
        <w:t>Carbon dioxide (CO₂)</w:t>
      </w:r>
      <w:r>
        <w:t xml:space="preserve">: long-lived and </w:t>
      </w:r>
      <w:proofErr w:type="gramStart"/>
      <w:r>
        <w:t>cumulative;</w:t>
      </w:r>
      <w:proofErr w:type="gramEnd"/>
    </w:p>
    <w:p w14:paraId="78A572F2" w14:textId="77777777" w:rsidR="006614E1" w:rsidRDefault="00000000">
      <w:pPr>
        <w:numPr>
          <w:ilvl w:val="0"/>
          <w:numId w:val="12"/>
        </w:numPr>
        <w:spacing w:after="200"/>
        <w:jc w:val="both"/>
      </w:pPr>
      <w:r>
        <w:rPr>
          <w:b/>
          <w:bCs/>
        </w:rPr>
        <w:t>Methane (CH₄)</w:t>
      </w:r>
      <w:r>
        <w:t xml:space="preserve">: short-lived but highly </w:t>
      </w:r>
      <w:proofErr w:type="gramStart"/>
      <w:r>
        <w:t>potent;</w:t>
      </w:r>
      <w:proofErr w:type="gramEnd"/>
    </w:p>
    <w:p w14:paraId="7E379EFA" w14:textId="77777777" w:rsidR="006614E1" w:rsidRDefault="00000000">
      <w:pPr>
        <w:numPr>
          <w:ilvl w:val="0"/>
          <w:numId w:val="12"/>
        </w:numPr>
        <w:spacing w:after="200"/>
        <w:jc w:val="both"/>
      </w:pPr>
      <w:r>
        <w:rPr>
          <w:b/>
          <w:bCs/>
        </w:rPr>
        <w:lastRenderedPageBreak/>
        <w:t>Nitrous oxide (N₂O)</w:t>
      </w:r>
      <w:r>
        <w:t>: long-lived and powerful; and</w:t>
      </w:r>
    </w:p>
    <w:p w14:paraId="36DAE0C5" w14:textId="77777777" w:rsidR="006614E1" w:rsidRDefault="00000000">
      <w:pPr>
        <w:numPr>
          <w:ilvl w:val="0"/>
          <w:numId w:val="12"/>
        </w:numPr>
        <w:spacing w:before="240" w:after="200"/>
        <w:jc w:val="both"/>
      </w:pPr>
      <w:r>
        <w:rPr>
          <w:b/>
          <w:bCs/>
        </w:rPr>
        <w:t>Fluorinated gases (F-gases)</w:t>
      </w:r>
      <w:r>
        <w:t>: emitted in small quantities but extremely high warming potency.</w:t>
      </w:r>
    </w:p>
    <w:p w14:paraId="05EDBA77" w14:textId="77777777" w:rsidR="006614E1" w:rsidRDefault="00000000">
      <w:pPr>
        <w:spacing w:before="240" w:after="240"/>
        <w:jc w:val="both"/>
      </w:pPr>
      <w:r>
        <w:t xml:space="preserve">Although CO₂ has a lower warming impact per </w:t>
      </w:r>
      <w:proofErr w:type="spellStart"/>
      <w:r>
        <w:t>tonne</w:t>
      </w:r>
      <w:proofErr w:type="spellEnd"/>
      <w:r>
        <w:t xml:space="preserve"> than several other greenhouse gases, it is responsible for roughly </w:t>
      </w:r>
      <w:r>
        <w:rPr>
          <w:b/>
          <w:bCs/>
        </w:rPr>
        <w:t>two-thirds of net anthropogenic warming to date</w:t>
      </w:r>
      <w:r>
        <w:t xml:space="preserve"> because of the large increase in its atmospheric concentration since the industrial revolution.</w:t>
      </w:r>
      <w:r>
        <w:rPr>
          <w:vertAlign w:val="superscript"/>
        </w:rPr>
        <w:footnoteReference w:id="9"/>
      </w:r>
    </w:p>
    <w:p w14:paraId="0C1712FE" w14:textId="77777777" w:rsidR="006614E1" w:rsidRDefault="00000000">
      <w:pPr>
        <w:pStyle w:val="Heading3"/>
        <w:jc w:val="both"/>
      </w:pPr>
      <w:bookmarkStart w:id="22" w:name="_76hqd5xxsu81" w:colFirst="0" w:colLast="0"/>
      <w:bookmarkEnd w:id="22"/>
      <w:r>
        <w:t>Why Gases Differ in Climate Impact</w:t>
      </w:r>
    </w:p>
    <w:p w14:paraId="6C4050BE" w14:textId="77777777" w:rsidR="006614E1" w:rsidRDefault="00000000">
      <w:pPr>
        <w:spacing w:before="240" w:after="240"/>
        <w:jc w:val="both"/>
      </w:pPr>
      <w:r>
        <w:t>The warming impact of a greenhouse gas depends on two key physical characteristics:</w:t>
      </w:r>
    </w:p>
    <w:p w14:paraId="7A668B3F" w14:textId="77777777" w:rsidR="006614E1" w:rsidRDefault="00000000">
      <w:pPr>
        <w:numPr>
          <w:ilvl w:val="0"/>
          <w:numId w:val="15"/>
        </w:numPr>
        <w:spacing w:before="240" w:after="200"/>
        <w:jc w:val="both"/>
      </w:pPr>
      <w:r>
        <w:rPr>
          <w:b/>
          <w:bCs/>
        </w:rPr>
        <w:t>Radiative efficiency</w:t>
      </w:r>
      <w:r>
        <w:t>: how effectively the gas absorbs energy and re-emits it as heat.</w:t>
      </w:r>
    </w:p>
    <w:p w14:paraId="4AF8E440" w14:textId="77777777" w:rsidR="006614E1" w:rsidRDefault="00000000">
      <w:pPr>
        <w:numPr>
          <w:ilvl w:val="0"/>
          <w:numId w:val="15"/>
        </w:numPr>
        <w:spacing w:before="240" w:after="200"/>
        <w:jc w:val="both"/>
      </w:pPr>
      <w:r>
        <w:rPr>
          <w:b/>
          <w:bCs/>
        </w:rPr>
        <w:t>Atmospheric lifetime</w:t>
      </w:r>
      <w:r>
        <w:t>: how long the gas remains in the atmosphere before being removed by natural processes.</w:t>
      </w:r>
    </w:p>
    <w:p w14:paraId="49594889" w14:textId="77777777" w:rsidR="006614E1" w:rsidRDefault="00000000">
      <w:pPr>
        <w:spacing w:before="240" w:after="240"/>
        <w:jc w:val="both"/>
      </w:pPr>
      <w:r>
        <w:t>For example:</w:t>
      </w:r>
    </w:p>
    <w:p w14:paraId="01408F15" w14:textId="77777777" w:rsidR="006614E1" w:rsidRDefault="00000000">
      <w:pPr>
        <w:numPr>
          <w:ilvl w:val="0"/>
          <w:numId w:val="2"/>
        </w:numPr>
        <w:spacing w:before="240" w:after="200"/>
        <w:jc w:val="both"/>
      </w:pPr>
      <w:r>
        <w:rPr>
          <w:b/>
          <w:bCs/>
        </w:rPr>
        <w:t>Carbon dioxide (CO₂)</w:t>
      </w:r>
      <w:r>
        <w:t xml:space="preserve"> does not have a single atmospheric lifetime; while individual molecules cycle relatively quickly, a fraction of emitted CO₂ remains in the atmosphere for centuries to millennia.</w:t>
      </w:r>
    </w:p>
    <w:p w14:paraId="24BDCDE8" w14:textId="77777777" w:rsidR="006614E1" w:rsidRDefault="00000000">
      <w:pPr>
        <w:numPr>
          <w:ilvl w:val="0"/>
          <w:numId w:val="2"/>
        </w:numPr>
        <w:spacing w:after="200"/>
        <w:jc w:val="both"/>
      </w:pPr>
      <w:r>
        <w:rPr>
          <w:b/>
          <w:bCs/>
        </w:rPr>
        <w:t>Methane (CH₄)</w:t>
      </w:r>
      <w:r>
        <w:t xml:space="preserve"> has a high radiative efficiency (about 8 times that of CO</w:t>
      </w:r>
      <w:r w:rsidRPr="00136D56">
        <w:rPr>
          <w:vertAlign w:val="subscript"/>
        </w:rPr>
        <w:t>2</w:t>
      </w:r>
      <w:r>
        <w:t>) but a relatively short atmospheric lifetime (about 12 years).</w:t>
      </w:r>
    </w:p>
    <w:p w14:paraId="2090F661" w14:textId="77777777" w:rsidR="006614E1" w:rsidRDefault="00000000">
      <w:pPr>
        <w:numPr>
          <w:ilvl w:val="0"/>
          <w:numId w:val="2"/>
        </w:numPr>
        <w:spacing w:before="240" w:after="200"/>
        <w:jc w:val="both"/>
      </w:pPr>
      <w:r>
        <w:rPr>
          <w:b/>
          <w:bCs/>
        </w:rPr>
        <w:t>Nitrous oxide (N₂O)</w:t>
      </w:r>
      <w:r>
        <w:t xml:space="preserve"> persists for over a century and has even higher radiative efficiency (about 25 times higher than CO</w:t>
      </w:r>
      <w:r w:rsidRPr="00136D56">
        <w:rPr>
          <w:vertAlign w:val="subscript"/>
        </w:rPr>
        <w:t>2</w:t>
      </w:r>
      <w:r>
        <w:t>).</w:t>
      </w:r>
    </w:p>
    <w:p w14:paraId="7448B5F3" w14:textId="77777777" w:rsidR="006614E1" w:rsidRDefault="00000000">
      <w:pPr>
        <w:spacing w:before="240" w:after="240"/>
        <w:jc w:val="both"/>
      </w:pPr>
      <w:r>
        <w:t xml:space="preserve">Because these gases differ so substantially, policymakers convert them into a common unit: </w:t>
      </w:r>
      <w:r>
        <w:rPr>
          <w:b/>
          <w:bCs/>
        </w:rPr>
        <w:t>carbon dioxide equivalent (</w:t>
      </w:r>
      <w:proofErr w:type="spellStart"/>
      <w:r>
        <w:rPr>
          <w:b/>
          <w:bCs/>
        </w:rPr>
        <w:t>CO₂e</w:t>
      </w:r>
      <w:proofErr w:type="spellEnd"/>
      <w:r>
        <w:rPr>
          <w:b/>
          <w:bCs/>
        </w:rPr>
        <w:t>)</w:t>
      </w:r>
      <w:r>
        <w:t>.</w:t>
      </w:r>
    </w:p>
    <w:p w14:paraId="24791125" w14:textId="77777777" w:rsidR="006614E1" w:rsidRDefault="00000000">
      <w:pPr>
        <w:pStyle w:val="Heading3"/>
        <w:jc w:val="both"/>
      </w:pPr>
      <w:bookmarkStart w:id="23" w:name="_bk6204xn5cmf" w:colFirst="0" w:colLast="0"/>
      <w:bookmarkEnd w:id="23"/>
      <w:r>
        <w:t>Global Warming Potentials (GWP)</w:t>
      </w:r>
    </w:p>
    <w:p w14:paraId="53937CDA" w14:textId="77777777" w:rsidR="006614E1" w:rsidRDefault="00000000">
      <w:pPr>
        <w:spacing w:before="240" w:after="240"/>
        <w:jc w:val="both"/>
      </w:pPr>
      <w:r>
        <w:t xml:space="preserve">The conversion to </w:t>
      </w:r>
      <w:proofErr w:type="spellStart"/>
      <w:r>
        <w:t>CO₂e</w:t>
      </w:r>
      <w:proofErr w:type="spellEnd"/>
      <w:r>
        <w:t xml:space="preserve"> relies on </w:t>
      </w:r>
      <w:r>
        <w:rPr>
          <w:b/>
          <w:bCs/>
        </w:rPr>
        <w:t>Global Warming Potentials (GWPs)</w:t>
      </w:r>
      <w:r>
        <w:t>.</w:t>
      </w:r>
    </w:p>
    <w:p w14:paraId="5C298AD0" w14:textId="77777777" w:rsidR="006614E1" w:rsidRDefault="00000000">
      <w:pPr>
        <w:spacing w:before="240" w:after="240"/>
        <w:jc w:val="both"/>
      </w:pPr>
      <w:r>
        <w:t xml:space="preserve">GWP measures the total warming effect of one </w:t>
      </w:r>
      <w:proofErr w:type="spellStart"/>
      <w:r>
        <w:t>tonne</w:t>
      </w:r>
      <w:proofErr w:type="spellEnd"/>
      <w:r>
        <w:t xml:space="preserve"> of a gas relative to one </w:t>
      </w:r>
      <w:proofErr w:type="spellStart"/>
      <w:r>
        <w:t>tonne</w:t>
      </w:r>
      <w:proofErr w:type="spellEnd"/>
      <w:r>
        <w:t xml:space="preserve"> of CO₂ over a specified time horizon.</w:t>
      </w:r>
    </w:p>
    <w:p w14:paraId="40BF42AD" w14:textId="77777777" w:rsidR="006614E1" w:rsidRDefault="00000000">
      <w:pPr>
        <w:spacing w:before="240" w:after="240"/>
        <w:jc w:val="both"/>
      </w:pPr>
      <w:r>
        <w:t xml:space="preserve">The </w:t>
      </w:r>
      <w:proofErr w:type="gramStart"/>
      <w:r>
        <w:t>most commonly used</w:t>
      </w:r>
      <w:proofErr w:type="gramEnd"/>
      <w:r>
        <w:t xml:space="preserve"> metric in climate policy is </w:t>
      </w:r>
      <w:r>
        <w:rPr>
          <w:b/>
          <w:bCs/>
        </w:rPr>
        <w:t>GWP100</w:t>
      </w:r>
      <w:r>
        <w:t>, the warming impact measured over 100 years.</w:t>
      </w:r>
    </w:p>
    <w:p w14:paraId="046DBD05" w14:textId="77777777" w:rsidR="006614E1" w:rsidRDefault="00000000">
      <w:pPr>
        <w:spacing w:before="240" w:after="240"/>
        <w:jc w:val="both"/>
      </w:pPr>
      <w:r>
        <w:lastRenderedPageBreak/>
        <w:t>Under IPCC AR6 estimates (GWP100):</w:t>
      </w:r>
    </w:p>
    <w:p w14:paraId="00F917F3" w14:textId="77777777" w:rsidR="006614E1" w:rsidRDefault="00000000">
      <w:pPr>
        <w:numPr>
          <w:ilvl w:val="0"/>
          <w:numId w:val="1"/>
        </w:numPr>
        <w:spacing w:before="240" w:after="200"/>
        <w:jc w:val="both"/>
      </w:pPr>
      <w:r>
        <w:rPr>
          <w:b/>
          <w:bCs/>
        </w:rPr>
        <w:t xml:space="preserve">1 </w:t>
      </w:r>
      <w:proofErr w:type="spellStart"/>
      <w:r>
        <w:rPr>
          <w:b/>
          <w:bCs/>
        </w:rPr>
        <w:t>tonne</w:t>
      </w:r>
      <w:proofErr w:type="spellEnd"/>
      <w:r>
        <w:rPr>
          <w:b/>
          <w:bCs/>
        </w:rPr>
        <w:t xml:space="preserve"> of CO₂ = 1 </w:t>
      </w:r>
      <w:proofErr w:type="spellStart"/>
      <w:r>
        <w:rPr>
          <w:b/>
          <w:bCs/>
        </w:rPr>
        <w:t>tCO₂e</w:t>
      </w:r>
      <w:proofErr w:type="spellEnd"/>
    </w:p>
    <w:p w14:paraId="6F18826B" w14:textId="77777777" w:rsidR="006614E1" w:rsidRDefault="00000000">
      <w:pPr>
        <w:numPr>
          <w:ilvl w:val="0"/>
          <w:numId w:val="1"/>
        </w:numPr>
        <w:spacing w:after="200"/>
        <w:jc w:val="both"/>
      </w:pPr>
      <w:r>
        <w:rPr>
          <w:rFonts w:ascii="Arial Unicode MS" w:eastAsia="Arial Unicode MS" w:hAnsi="Arial Unicode MS" w:cs="Arial Unicode MS"/>
          <w:b/>
          <w:bCs/>
        </w:rPr>
        <w:t xml:space="preserve">1 </w:t>
      </w:r>
      <w:proofErr w:type="spellStart"/>
      <w:r>
        <w:rPr>
          <w:rFonts w:ascii="Arial Unicode MS" w:eastAsia="Arial Unicode MS" w:hAnsi="Arial Unicode MS" w:cs="Arial Unicode MS"/>
          <w:b/>
          <w:bCs/>
        </w:rPr>
        <w:t>tonne</w:t>
      </w:r>
      <w:proofErr w:type="spellEnd"/>
      <w:r>
        <w:rPr>
          <w:rFonts w:ascii="Arial Unicode MS" w:eastAsia="Arial Unicode MS" w:hAnsi="Arial Unicode MS" w:cs="Arial Unicode MS"/>
          <w:b/>
          <w:bCs/>
        </w:rPr>
        <w:t xml:space="preserve"> of methane (CH₄) ≈ 27–30 </w:t>
      </w:r>
      <w:proofErr w:type="spellStart"/>
      <w:r>
        <w:rPr>
          <w:rFonts w:ascii="Arial Unicode MS" w:eastAsia="Arial Unicode MS" w:hAnsi="Arial Unicode MS" w:cs="Arial Unicode MS"/>
          <w:b/>
          <w:bCs/>
        </w:rPr>
        <w:t>tCO₂e</w:t>
      </w:r>
      <w:proofErr w:type="spellEnd"/>
    </w:p>
    <w:p w14:paraId="1A50251B" w14:textId="77777777" w:rsidR="006614E1" w:rsidRDefault="00000000">
      <w:pPr>
        <w:numPr>
          <w:ilvl w:val="0"/>
          <w:numId w:val="1"/>
        </w:numPr>
        <w:spacing w:before="240" w:after="200"/>
        <w:jc w:val="both"/>
      </w:pPr>
      <w:r>
        <w:rPr>
          <w:rFonts w:ascii="Arial Unicode MS" w:eastAsia="Arial Unicode MS" w:hAnsi="Arial Unicode MS" w:cs="Arial Unicode MS"/>
          <w:b/>
          <w:bCs/>
        </w:rPr>
        <w:t xml:space="preserve">1 </w:t>
      </w:r>
      <w:proofErr w:type="spellStart"/>
      <w:r>
        <w:rPr>
          <w:rFonts w:ascii="Arial Unicode MS" w:eastAsia="Arial Unicode MS" w:hAnsi="Arial Unicode MS" w:cs="Arial Unicode MS"/>
          <w:b/>
          <w:bCs/>
        </w:rPr>
        <w:t>tonne</w:t>
      </w:r>
      <w:proofErr w:type="spellEnd"/>
      <w:r>
        <w:rPr>
          <w:rFonts w:ascii="Arial Unicode MS" w:eastAsia="Arial Unicode MS" w:hAnsi="Arial Unicode MS" w:cs="Arial Unicode MS"/>
          <w:b/>
          <w:bCs/>
        </w:rPr>
        <w:t xml:space="preserve"> of nitrous oxide (N₂O) ≈ 273 </w:t>
      </w:r>
      <w:proofErr w:type="spellStart"/>
      <w:r>
        <w:rPr>
          <w:rFonts w:ascii="Arial Unicode MS" w:eastAsia="Arial Unicode MS" w:hAnsi="Arial Unicode MS" w:cs="Arial Unicode MS"/>
          <w:b/>
          <w:bCs/>
        </w:rPr>
        <w:t>tCO₂e</w:t>
      </w:r>
      <w:proofErr w:type="spellEnd"/>
    </w:p>
    <w:p w14:paraId="0FAC40C6" w14:textId="77777777" w:rsidR="006614E1" w:rsidRDefault="00000000">
      <w:pPr>
        <w:spacing w:before="240" w:after="240"/>
        <w:jc w:val="both"/>
      </w:pPr>
      <w:r>
        <w:t>This framework allows emissions from different sectors — energy, agriculture, industry — to be aggregated and compared using a single metric.</w:t>
      </w:r>
    </w:p>
    <w:p w14:paraId="5E3D95BD" w14:textId="77777777" w:rsidR="006614E1" w:rsidRDefault="00000000">
      <w:pPr>
        <w:pStyle w:val="Heading3"/>
        <w:jc w:val="both"/>
      </w:pPr>
      <w:bookmarkStart w:id="24" w:name="_9lldlrd4ebr" w:colFirst="0" w:colLast="0"/>
      <w:bookmarkEnd w:id="24"/>
      <w:r>
        <w:t>Important Limitations</w:t>
      </w:r>
    </w:p>
    <w:p w14:paraId="7BA65B22" w14:textId="77777777" w:rsidR="006614E1" w:rsidRDefault="00000000">
      <w:pPr>
        <w:spacing w:before="240" w:after="240"/>
        <w:jc w:val="both"/>
      </w:pPr>
      <w:proofErr w:type="spellStart"/>
      <w:r>
        <w:t>CO₂e</w:t>
      </w:r>
      <w:proofErr w:type="spellEnd"/>
      <w:r>
        <w:t xml:space="preserve"> is a powerful accounting tool, but it compresses very different climate dynamics into a single number.</w:t>
      </w:r>
    </w:p>
    <w:p w14:paraId="380321A3" w14:textId="77777777" w:rsidR="006614E1" w:rsidRDefault="00000000">
      <w:pPr>
        <w:numPr>
          <w:ilvl w:val="0"/>
          <w:numId w:val="17"/>
        </w:numPr>
        <w:spacing w:before="240" w:after="200"/>
        <w:jc w:val="both"/>
      </w:pPr>
      <w:r>
        <w:rPr>
          <w:b/>
          <w:bCs/>
        </w:rPr>
        <w:t>CO₂ is cumulative</w:t>
      </w:r>
      <w:r>
        <w:t>: warming depends largely on total historical emissions.</w:t>
      </w:r>
    </w:p>
    <w:p w14:paraId="6B2E2E79" w14:textId="77777777" w:rsidR="006614E1" w:rsidRDefault="00000000">
      <w:pPr>
        <w:numPr>
          <w:ilvl w:val="0"/>
          <w:numId w:val="17"/>
        </w:numPr>
        <w:spacing w:after="200"/>
        <w:jc w:val="both"/>
      </w:pPr>
      <w:r>
        <w:rPr>
          <w:b/>
          <w:bCs/>
        </w:rPr>
        <w:t>Methane is short-lived</w:t>
      </w:r>
      <w:r>
        <w:t>: its warming impact is stronger in the near term but does not accumulate over centuries in the same way.</w:t>
      </w:r>
    </w:p>
    <w:p w14:paraId="65B9C400" w14:textId="77777777" w:rsidR="006614E1" w:rsidRDefault="00000000">
      <w:pPr>
        <w:spacing w:before="240" w:after="200"/>
        <w:jc w:val="both"/>
      </w:pPr>
      <w:r>
        <w:t xml:space="preserve">The choice of time horizon (e.g., 20-year vs 100-year GWP) can materially affect the relative weight assigned to methane. </w:t>
      </w:r>
      <w:proofErr w:type="spellStart"/>
      <w:r>
        <w:t>CO₂e</w:t>
      </w:r>
      <w:proofErr w:type="spellEnd"/>
      <w:r>
        <w:t xml:space="preserve"> is therefore extremely useful for policy design and emissions reporting, but it is not a perfect representation of physical climate processes.</w:t>
      </w:r>
    </w:p>
    <w:sectPr w:rsidR="006614E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ACB307" w14:textId="77777777" w:rsidR="007E2C5A" w:rsidRDefault="007E2C5A">
      <w:pPr>
        <w:spacing w:line="240" w:lineRule="auto"/>
      </w:pPr>
      <w:r>
        <w:separator/>
      </w:r>
    </w:p>
  </w:endnote>
  <w:endnote w:type="continuationSeparator" w:id="0">
    <w:p w14:paraId="642B8FDE" w14:textId="77777777" w:rsidR="007E2C5A" w:rsidRDefault="007E2C5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9DD2F32A-41F9-DF42-ACA0-5856FB2811BE}"/>
  </w:font>
  <w:font w:name="Arial">
    <w:panose1 w:val="020B0604020202020204"/>
    <w:charset w:val="00"/>
    <w:family w:val="swiss"/>
    <w:pitch w:val="variable"/>
    <w:sig w:usb0="E0002AFF" w:usb1="C0007843" w:usb2="00000009" w:usb3="00000000" w:csb0="000001FF" w:csb1="00000000"/>
    <w:embedRegular r:id="rId2" w:fontKey="{53327BB3-A546-8443-839E-CCE45696C8DA}"/>
    <w:embedBold r:id="rId3" w:fontKey="{ED496F1A-AA90-AC41-B931-D3A26FFA84BF}"/>
    <w:embedItalic r:id="rId4" w:fontKey="{D35111F0-1D60-014E-81A1-AA1B1CEACCBC}"/>
  </w:font>
  <w:font w:name="Arial Unicode MS">
    <w:panose1 w:val="020B0604020202020204"/>
    <w:charset w:val="80"/>
    <w:family w:val="swiss"/>
    <w:pitch w:val="variable"/>
    <w:sig w:usb0="F7FFAFFF" w:usb1="E9DFFFFF" w:usb2="0000003F" w:usb3="00000000" w:csb0="003F01FF" w:csb1="00000000"/>
    <w:embedRegular r:id="rId5" w:subsetted="1" w:fontKey="{DE611840-90E7-214E-8E91-872668DB4B88}"/>
    <w:embedBold r:id="rId6" w:subsetted="1" w:fontKey="{583F2E75-02D0-8A45-989C-542703907A51}"/>
    <w:embedItalic r:id="rId7" w:subsetted="1" w:fontKey="{EAA92DD4-8FE0-FB4C-AD6B-B81C0915653D}"/>
  </w:font>
  <w:font w:name="Calibri">
    <w:altName w:val="Calibri"/>
    <w:panose1 w:val="020F0502020204030204"/>
    <w:charset w:val="00"/>
    <w:family w:val="swiss"/>
    <w:pitch w:val="variable"/>
    <w:sig w:usb0="E0002AFF" w:usb1="C000247B" w:usb2="00000009" w:usb3="00000000" w:csb0="000001FF" w:csb1="00000000"/>
    <w:embedRegular r:id="rId8" w:fontKey="{E6D0960D-DB09-C74F-947C-4840CC953DBD}"/>
  </w:font>
  <w:font w:name="Cambria">
    <w:panose1 w:val="02040503050406030204"/>
    <w:charset w:val="00"/>
    <w:family w:val="roman"/>
    <w:pitch w:val="variable"/>
    <w:sig w:usb0="E00002FF" w:usb1="400004FF" w:usb2="00000000" w:usb3="00000000" w:csb0="0000019F" w:csb1="00000000"/>
    <w:embedRegular r:id="rId9" w:fontKey="{CF7B3A49-CF9D-F144-B019-5E962267E809}"/>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AEE5EF" w14:textId="77777777" w:rsidR="007E2C5A" w:rsidRDefault="007E2C5A">
      <w:pPr>
        <w:spacing w:line="240" w:lineRule="auto"/>
      </w:pPr>
      <w:r>
        <w:separator/>
      </w:r>
    </w:p>
  </w:footnote>
  <w:footnote w:type="continuationSeparator" w:id="0">
    <w:p w14:paraId="41A15AE4" w14:textId="77777777" w:rsidR="007E2C5A" w:rsidRDefault="007E2C5A">
      <w:pPr>
        <w:spacing w:line="240" w:lineRule="auto"/>
      </w:pPr>
      <w:r>
        <w:continuationSeparator/>
      </w:r>
    </w:p>
  </w:footnote>
  <w:footnote w:id="1">
    <w:p w14:paraId="6726DB06" w14:textId="77777777" w:rsidR="006614E1" w:rsidRDefault="00000000">
      <w:pPr>
        <w:spacing w:line="240" w:lineRule="auto"/>
        <w:jc w:val="both"/>
        <w:rPr>
          <w:sz w:val="18"/>
          <w:szCs w:val="18"/>
        </w:rPr>
      </w:pPr>
      <w:r>
        <w:rPr>
          <w:vertAlign w:val="superscript"/>
        </w:rPr>
        <w:footnoteRef/>
      </w:r>
      <w:r>
        <w:rPr>
          <w:sz w:val="20"/>
          <w:szCs w:val="20"/>
        </w:rPr>
        <w:t xml:space="preserve"> </w:t>
      </w:r>
      <w:r>
        <w:rPr>
          <w:sz w:val="20"/>
          <w:szCs w:val="20"/>
        </w:rPr>
        <w:tab/>
        <w:t xml:space="preserve">Relatedly, radiative forcing is a measure used in climate science to quantify how factors such as greenhouse gases alter the Earth’s energy balance. It represents the change in the net flow of energy (incoming solar radiation minus outgoing infrared radiation) at the top of the atmosphere, typically measured in watts per square </w:t>
      </w:r>
      <w:proofErr w:type="spellStart"/>
      <w:r>
        <w:rPr>
          <w:sz w:val="20"/>
          <w:szCs w:val="20"/>
        </w:rPr>
        <w:t>metre</w:t>
      </w:r>
      <w:proofErr w:type="spellEnd"/>
      <w:r>
        <w:rPr>
          <w:sz w:val="20"/>
          <w:szCs w:val="20"/>
        </w:rPr>
        <w:t xml:space="preserve"> (W/m²). Positive radiative forcing means the Earth retains more energy and therefore warms, while negative forcing implies cooling.</w:t>
      </w:r>
    </w:p>
  </w:footnote>
  <w:footnote w:id="2">
    <w:p w14:paraId="58AD55D6" w14:textId="77777777" w:rsidR="006614E1" w:rsidRDefault="00000000">
      <w:pPr>
        <w:spacing w:line="240" w:lineRule="auto"/>
        <w:rPr>
          <w:sz w:val="18"/>
          <w:szCs w:val="18"/>
        </w:rPr>
      </w:pPr>
      <w:r>
        <w:rPr>
          <w:vertAlign w:val="superscript"/>
        </w:rPr>
        <w:footnoteRef/>
      </w:r>
      <w:r>
        <w:rPr>
          <w:sz w:val="20"/>
          <w:szCs w:val="20"/>
        </w:rPr>
        <w:t xml:space="preserve"> </w:t>
      </w:r>
      <w:r>
        <w:rPr>
          <w:sz w:val="20"/>
          <w:szCs w:val="20"/>
        </w:rPr>
        <w:tab/>
        <w:t>[</w:t>
      </w:r>
      <w:r>
        <w:rPr>
          <w:sz w:val="20"/>
          <w:szCs w:val="20"/>
          <w:highlight w:val="yellow"/>
        </w:rPr>
        <w:t>Cross-reference to Euan’s article.</w:t>
      </w:r>
      <w:r>
        <w:rPr>
          <w:sz w:val="20"/>
          <w:szCs w:val="20"/>
        </w:rPr>
        <w:t>]</w:t>
      </w:r>
    </w:p>
  </w:footnote>
  <w:footnote w:id="3">
    <w:p w14:paraId="0CC2D8B9" w14:textId="77777777" w:rsidR="006614E1" w:rsidRDefault="00000000">
      <w:pPr>
        <w:spacing w:line="240" w:lineRule="auto"/>
        <w:rPr>
          <w:sz w:val="18"/>
          <w:szCs w:val="18"/>
        </w:rPr>
      </w:pPr>
      <w:r>
        <w:rPr>
          <w:vertAlign w:val="superscript"/>
        </w:rPr>
        <w:footnoteRef/>
      </w:r>
      <w:r>
        <w:rPr>
          <w:sz w:val="20"/>
          <w:szCs w:val="20"/>
        </w:rPr>
        <w:t xml:space="preserve"> </w:t>
      </w:r>
      <w:r>
        <w:rPr>
          <w:sz w:val="20"/>
          <w:szCs w:val="20"/>
        </w:rPr>
        <w:tab/>
        <w:t xml:space="preserve">See </w:t>
      </w:r>
      <w:hyperlink r:id="rId1">
        <w:r>
          <w:rPr>
            <w:color w:val="1155CC"/>
            <w:sz w:val="18"/>
            <w:szCs w:val="18"/>
            <w:u w:val="single"/>
          </w:rPr>
          <w:t>UNFCC</w:t>
        </w:r>
      </w:hyperlink>
      <w:r>
        <w:rPr>
          <w:sz w:val="18"/>
          <w:szCs w:val="18"/>
        </w:rPr>
        <w:t>, Article 3.</w:t>
      </w:r>
    </w:p>
  </w:footnote>
  <w:footnote w:id="4">
    <w:p w14:paraId="2A00ECDA" w14:textId="77777777" w:rsidR="006614E1" w:rsidRDefault="00000000">
      <w:pPr>
        <w:spacing w:line="240" w:lineRule="auto"/>
        <w:rPr>
          <w:sz w:val="18"/>
          <w:szCs w:val="18"/>
        </w:rPr>
      </w:pPr>
      <w:r>
        <w:rPr>
          <w:vertAlign w:val="superscript"/>
        </w:rPr>
        <w:footnoteRef/>
      </w:r>
      <w:r>
        <w:rPr>
          <w:sz w:val="20"/>
          <w:szCs w:val="20"/>
        </w:rPr>
        <w:t xml:space="preserve"> </w:t>
      </w:r>
      <w:r>
        <w:rPr>
          <w:sz w:val="20"/>
          <w:szCs w:val="20"/>
        </w:rPr>
        <w:tab/>
        <w:t xml:space="preserve">For a list of these countries, see </w:t>
      </w:r>
      <w:hyperlink r:id="rId2" w:anchor="page=24">
        <w:r>
          <w:rPr>
            <w:color w:val="1155CC"/>
            <w:sz w:val="18"/>
            <w:szCs w:val="18"/>
            <w:u w:val="single"/>
          </w:rPr>
          <w:t>Kyoto Protocol, Annex B</w:t>
        </w:r>
      </w:hyperlink>
      <w:r>
        <w:rPr>
          <w:sz w:val="18"/>
          <w:szCs w:val="18"/>
        </w:rPr>
        <w:t>.</w:t>
      </w:r>
    </w:p>
  </w:footnote>
  <w:footnote w:id="5">
    <w:p w14:paraId="008B3127" w14:textId="77777777" w:rsidR="006614E1" w:rsidRDefault="00000000">
      <w:pPr>
        <w:spacing w:line="240" w:lineRule="auto"/>
        <w:rPr>
          <w:sz w:val="16"/>
          <w:szCs w:val="16"/>
        </w:rPr>
      </w:pPr>
      <w:r>
        <w:rPr>
          <w:vertAlign w:val="superscript"/>
        </w:rPr>
        <w:footnoteRef/>
      </w:r>
      <w:r>
        <w:rPr>
          <w:sz w:val="20"/>
          <w:szCs w:val="20"/>
        </w:rPr>
        <w:t xml:space="preserve"> </w:t>
      </w:r>
      <w:r>
        <w:rPr>
          <w:sz w:val="20"/>
          <w:szCs w:val="20"/>
        </w:rPr>
        <w:tab/>
      </w:r>
      <w:r>
        <w:rPr>
          <w:sz w:val="18"/>
          <w:szCs w:val="18"/>
        </w:rPr>
        <w:t xml:space="preserve">Figure SPM.10 in IPCC, 2021: Summary for Policymakers. In: </w:t>
      </w:r>
      <w:r>
        <w:rPr>
          <w:i/>
          <w:iCs/>
          <w:sz w:val="18"/>
          <w:szCs w:val="18"/>
        </w:rPr>
        <w:t xml:space="preserve">Climate Change 2021: The Physical Science Basis. Contribution of Working Group I to the Sixth Assessment Report of the Intergovernmental Panel on Climate Change </w:t>
      </w:r>
      <w:r>
        <w:rPr>
          <w:rFonts w:ascii="Arial Unicode MS" w:eastAsia="Arial Unicode MS" w:hAnsi="Arial Unicode MS" w:cs="Arial Unicode MS"/>
          <w:sz w:val="18"/>
          <w:szCs w:val="18"/>
        </w:rPr>
        <w:t xml:space="preserve">[Masson-Delmotte, V., P. Zhai, A. Pirani, S.L. Connors, C. </w:t>
      </w:r>
      <w:proofErr w:type="spellStart"/>
      <w:r>
        <w:rPr>
          <w:rFonts w:ascii="Arial Unicode MS" w:eastAsia="Arial Unicode MS" w:hAnsi="Arial Unicode MS" w:cs="Arial Unicode MS"/>
          <w:sz w:val="18"/>
          <w:szCs w:val="18"/>
        </w:rPr>
        <w:t>Péan</w:t>
      </w:r>
      <w:proofErr w:type="spellEnd"/>
      <w:r>
        <w:rPr>
          <w:rFonts w:ascii="Arial Unicode MS" w:eastAsia="Arial Unicode MS" w:hAnsi="Arial Unicode MS" w:cs="Arial Unicode MS"/>
          <w:sz w:val="18"/>
          <w:szCs w:val="18"/>
        </w:rPr>
        <w:t xml:space="preserve">, S. Berger, N. Caud, Y. Chen, L. Goldfarb, M.I. Gomis, M. Huang, K. Leitzell, E. </w:t>
      </w:r>
      <w:proofErr w:type="spellStart"/>
      <w:r>
        <w:rPr>
          <w:rFonts w:ascii="Arial Unicode MS" w:eastAsia="Arial Unicode MS" w:hAnsi="Arial Unicode MS" w:cs="Arial Unicode MS"/>
          <w:sz w:val="18"/>
          <w:szCs w:val="18"/>
        </w:rPr>
        <w:t>Lonnoy</w:t>
      </w:r>
      <w:proofErr w:type="spellEnd"/>
      <w:r>
        <w:rPr>
          <w:rFonts w:ascii="Arial Unicode MS" w:eastAsia="Arial Unicode MS" w:hAnsi="Arial Unicode MS" w:cs="Arial Unicode MS"/>
          <w:sz w:val="18"/>
          <w:szCs w:val="18"/>
        </w:rPr>
        <w:t xml:space="preserve">, J.B.R. Matthews, T.K. Maycock, T. Waterfield, O. </w:t>
      </w:r>
      <w:proofErr w:type="spellStart"/>
      <w:r>
        <w:rPr>
          <w:rFonts w:ascii="Arial Unicode MS" w:eastAsia="Arial Unicode MS" w:hAnsi="Arial Unicode MS" w:cs="Arial Unicode MS"/>
          <w:sz w:val="18"/>
          <w:szCs w:val="18"/>
        </w:rPr>
        <w:t>Yelekçi</w:t>
      </w:r>
      <w:proofErr w:type="spellEnd"/>
      <w:r>
        <w:rPr>
          <w:rFonts w:ascii="Arial Unicode MS" w:eastAsia="Arial Unicode MS" w:hAnsi="Arial Unicode MS" w:cs="Arial Unicode MS"/>
          <w:sz w:val="18"/>
          <w:szCs w:val="18"/>
        </w:rPr>
        <w:t xml:space="preserve">, R. Yu, and B. Zhou (eds.)]. Cambridge University Press, Cambridge, UK and New York, NY,USA, pp. 3−32, </w:t>
      </w:r>
      <w:proofErr w:type="spellStart"/>
      <w:r>
        <w:rPr>
          <w:rFonts w:ascii="Arial Unicode MS" w:eastAsia="Arial Unicode MS" w:hAnsi="Arial Unicode MS" w:cs="Arial Unicode MS"/>
          <w:sz w:val="18"/>
          <w:szCs w:val="18"/>
        </w:rPr>
        <w:t>doi</w:t>
      </w:r>
      <w:proofErr w:type="spellEnd"/>
      <w:r>
        <w:rPr>
          <w:rFonts w:ascii="Arial Unicode MS" w:eastAsia="Arial Unicode MS" w:hAnsi="Arial Unicode MS" w:cs="Arial Unicode MS"/>
          <w:sz w:val="18"/>
          <w:szCs w:val="18"/>
        </w:rPr>
        <w:t>:</w:t>
      </w:r>
      <w:hyperlink r:id="rId3">
        <w:r>
          <w:rPr>
            <w:sz w:val="18"/>
            <w:szCs w:val="18"/>
          </w:rPr>
          <w:t xml:space="preserve"> </w:t>
        </w:r>
      </w:hyperlink>
      <w:hyperlink r:id="rId4">
        <w:r>
          <w:rPr>
            <w:color w:val="1155CC"/>
            <w:sz w:val="18"/>
            <w:szCs w:val="18"/>
            <w:u w:val="single"/>
          </w:rPr>
          <w:t>10.1017/9781009157896.001</w:t>
        </w:r>
      </w:hyperlink>
      <w:r>
        <w:rPr>
          <w:color w:val="1155CC"/>
          <w:sz w:val="18"/>
          <w:szCs w:val="18"/>
          <w:u w:val="single"/>
        </w:rPr>
        <w:t xml:space="preserve"> </w:t>
      </w:r>
      <w:r>
        <w:rPr>
          <w:sz w:val="18"/>
          <w:szCs w:val="18"/>
        </w:rPr>
        <w:t>.]</w:t>
      </w:r>
    </w:p>
  </w:footnote>
  <w:footnote w:id="6">
    <w:p w14:paraId="76E9635B" w14:textId="77777777" w:rsidR="006614E1" w:rsidRDefault="00000000">
      <w:pPr>
        <w:spacing w:line="240" w:lineRule="auto"/>
        <w:rPr>
          <w:sz w:val="16"/>
          <w:szCs w:val="16"/>
        </w:rPr>
      </w:pPr>
      <w:r>
        <w:rPr>
          <w:vertAlign w:val="superscript"/>
        </w:rPr>
        <w:footnoteRef/>
      </w:r>
      <w:r>
        <w:rPr>
          <w:sz w:val="20"/>
          <w:szCs w:val="20"/>
        </w:rPr>
        <w:t xml:space="preserve"> </w:t>
      </w:r>
      <w:r>
        <w:rPr>
          <w:sz w:val="20"/>
          <w:szCs w:val="20"/>
        </w:rPr>
        <w:tab/>
      </w:r>
      <w:hyperlink r:id="rId5">
        <w:r>
          <w:rPr>
            <w:color w:val="1155CC"/>
            <w:sz w:val="18"/>
            <w:szCs w:val="18"/>
            <w:u w:val="single"/>
          </w:rPr>
          <w:t>IPCC Sixth Assessment Report, Synthesis Report, Full Volume</w:t>
        </w:r>
      </w:hyperlink>
      <w:r>
        <w:rPr>
          <w:sz w:val="18"/>
          <w:szCs w:val="18"/>
        </w:rPr>
        <w:t>, paragraphs B.5.2 and 3.3.1.</w:t>
      </w:r>
    </w:p>
  </w:footnote>
  <w:footnote w:id="7">
    <w:p w14:paraId="7295911E" w14:textId="77777777" w:rsidR="006614E1" w:rsidRDefault="00000000">
      <w:pPr>
        <w:spacing w:line="240" w:lineRule="auto"/>
        <w:rPr>
          <w:sz w:val="16"/>
          <w:szCs w:val="16"/>
        </w:rPr>
      </w:pPr>
      <w:r>
        <w:rPr>
          <w:vertAlign w:val="superscript"/>
        </w:rPr>
        <w:footnoteRef/>
      </w:r>
      <w:r>
        <w:rPr>
          <w:sz w:val="20"/>
          <w:szCs w:val="20"/>
        </w:rPr>
        <w:t xml:space="preserve"> </w:t>
      </w:r>
      <w:r>
        <w:rPr>
          <w:sz w:val="20"/>
          <w:szCs w:val="20"/>
        </w:rPr>
        <w:tab/>
      </w:r>
      <w:hyperlink r:id="rId6">
        <w:r>
          <w:rPr>
            <w:color w:val="1155CC"/>
            <w:sz w:val="18"/>
            <w:szCs w:val="18"/>
            <w:u w:val="single"/>
          </w:rPr>
          <w:t>IPCC Sixth Assessment Report, Synthesis Report, Full Volume</w:t>
        </w:r>
      </w:hyperlink>
      <w:r>
        <w:rPr>
          <w:sz w:val="18"/>
          <w:szCs w:val="18"/>
        </w:rPr>
        <w:t>, paragraph 3.3.1.</w:t>
      </w:r>
    </w:p>
  </w:footnote>
  <w:footnote w:id="8">
    <w:p w14:paraId="6EED2940" w14:textId="77777777" w:rsidR="006614E1" w:rsidRDefault="00000000">
      <w:pPr>
        <w:spacing w:line="240" w:lineRule="auto"/>
        <w:rPr>
          <w:sz w:val="18"/>
          <w:szCs w:val="18"/>
        </w:rPr>
      </w:pPr>
      <w:r>
        <w:rPr>
          <w:vertAlign w:val="superscript"/>
        </w:rPr>
        <w:footnoteRef/>
      </w:r>
      <w:r>
        <w:rPr>
          <w:sz w:val="20"/>
          <w:szCs w:val="20"/>
        </w:rPr>
        <w:t xml:space="preserve"> </w:t>
      </w:r>
      <w:r>
        <w:rPr>
          <w:sz w:val="20"/>
          <w:szCs w:val="20"/>
        </w:rPr>
        <w:tab/>
      </w:r>
      <w:r>
        <w:rPr>
          <w:sz w:val="18"/>
          <w:szCs w:val="18"/>
        </w:rPr>
        <w:t>See the Annex for an explanation of CO₂-equivalence.</w:t>
      </w:r>
    </w:p>
  </w:footnote>
  <w:footnote w:id="9">
    <w:p w14:paraId="1B54781C" w14:textId="77777777" w:rsidR="006614E1" w:rsidRDefault="00000000">
      <w:pPr>
        <w:spacing w:line="240" w:lineRule="auto"/>
        <w:jc w:val="both"/>
        <w:rPr>
          <w:sz w:val="18"/>
          <w:szCs w:val="18"/>
        </w:rPr>
      </w:pPr>
      <w:r>
        <w:rPr>
          <w:vertAlign w:val="superscript"/>
        </w:rPr>
        <w:footnoteRef/>
      </w:r>
      <w:r>
        <w:rPr>
          <w:sz w:val="20"/>
          <w:szCs w:val="20"/>
        </w:rPr>
        <w:t xml:space="preserve"> </w:t>
      </w:r>
      <w:r>
        <w:rPr>
          <w:sz w:val="20"/>
          <w:szCs w:val="20"/>
        </w:rPr>
        <w:tab/>
        <w:t xml:space="preserve">This Annex is based on </w:t>
      </w:r>
      <w:hyperlink r:id="rId7">
        <w:r>
          <w:rPr>
            <w:color w:val="1155CC"/>
            <w:sz w:val="20"/>
            <w:szCs w:val="20"/>
            <w:u w:val="single"/>
          </w:rPr>
          <w:t>Main Greenhouse Gases</w:t>
        </w:r>
      </w:hyperlink>
      <w:r>
        <w:rPr>
          <w:sz w:val="20"/>
          <w:szCs w:val="20"/>
        </w:rPr>
        <w:t xml:space="preserve"> from the Center for Climate and Energy Solutions.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76955"/>
    <w:multiLevelType w:val="multilevel"/>
    <w:tmpl w:val="848A2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1482491"/>
    <w:multiLevelType w:val="multilevel"/>
    <w:tmpl w:val="24BEFB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AB01AD3"/>
    <w:multiLevelType w:val="multilevel"/>
    <w:tmpl w:val="9DF678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BD31656"/>
    <w:multiLevelType w:val="multilevel"/>
    <w:tmpl w:val="2320E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3010D59"/>
    <w:multiLevelType w:val="multilevel"/>
    <w:tmpl w:val="8D72EC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E512384"/>
    <w:multiLevelType w:val="multilevel"/>
    <w:tmpl w:val="7D4EA7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4985DEB"/>
    <w:multiLevelType w:val="multilevel"/>
    <w:tmpl w:val="B568E0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5E96D68"/>
    <w:multiLevelType w:val="multilevel"/>
    <w:tmpl w:val="0AFA8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ECE2210"/>
    <w:multiLevelType w:val="multilevel"/>
    <w:tmpl w:val="F9CA4E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FA319FD"/>
    <w:multiLevelType w:val="multilevel"/>
    <w:tmpl w:val="895066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2934BF3"/>
    <w:multiLevelType w:val="multilevel"/>
    <w:tmpl w:val="FDA08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8B92E73"/>
    <w:multiLevelType w:val="multilevel"/>
    <w:tmpl w:val="478C40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CBD3F71"/>
    <w:multiLevelType w:val="multilevel"/>
    <w:tmpl w:val="07442D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360478B"/>
    <w:multiLevelType w:val="multilevel"/>
    <w:tmpl w:val="BF9073C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74C15BDC"/>
    <w:multiLevelType w:val="multilevel"/>
    <w:tmpl w:val="C65C50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6990FC6"/>
    <w:multiLevelType w:val="multilevel"/>
    <w:tmpl w:val="BD3AD5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8117A95"/>
    <w:multiLevelType w:val="multilevel"/>
    <w:tmpl w:val="0128B8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7E334843"/>
    <w:multiLevelType w:val="multilevel"/>
    <w:tmpl w:val="0706CA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28236069">
    <w:abstractNumId w:val="6"/>
  </w:num>
  <w:num w:numId="2" w16cid:durableId="305673444">
    <w:abstractNumId w:val="17"/>
  </w:num>
  <w:num w:numId="3" w16cid:durableId="1223979098">
    <w:abstractNumId w:val="9"/>
  </w:num>
  <w:num w:numId="4" w16cid:durableId="970403720">
    <w:abstractNumId w:val="4"/>
  </w:num>
  <w:num w:numId="5" w16cid:durableId="387608930">
    <w:abstractNumId w:val="10"/>
  </w:num>
  <w:num w:numId="6" w16cid:durableId="1003706327">
    <w:abstractNumId w:val="0"/>
  </w:num>
  <w:num w:numId="7" w16cid:durableId="871116581">
    <w:abstractNumId w:val="5"/>
  </w:num>
  <w:num w:numId="8" w16cid:durableId="1639914744">
    <w:abstractNumId w:val="8"/>
  </w:num>
  <w:num w:numId="9" w16cid:durableId="122891962">
    <w:abstractNumId w:val="1"/>
  </w:num>
  <w:num w:numId="10" w16cid:durableId="1981887626">
    <w:abstractNumId w:val="11"/>
  </w:num>
  <w:num w:numId="11" w16cid:durableId="1926305883">
    <w:abstractNumId w:val="14"/>
  </w:num>
  <w:num w:numId="12" w16cid:durableId="196234481">
    <w:abstractNumId w:val="15"/>
  </w:num>
  <w:num w:numId="13" w16cid:durableId="2017613210">
    <w:abstractNumId w:val="12"/>
  </w:num>
  <w:num w:numId="14" w16cid:durableId="812527605">
    <w:abstractNumId w:val="7"/>
  </w:num>
  <w:num w:numId="15" w16cid:durableId="942105916">
    <w:abstractNumId w:val="13"/>
  </w:num>
  <w:num w:numId="16" w16cid:durableId="418790508">
    <w:abstractNumId w:val="2"/>
  </w:num>
  <w:num w:numId="17" w16cid:durableId="1933975039">
    <w:abstractNumId w:val="16"/>
  </w:num>
  <w:num w:numId="18" w16cid:durableId="62785974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14E1"/>
    <w:rsid w:val="000C216B"/>
    <w:rsid w:val="00136D56"/>
    <w:rsid w:val="006614E1"/>
    <w:rsid w:val="007E2C5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2A68800"/>
  <w15:docId w15:val="{7406A0F8-189F-B547-A13A-B15765B0F7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unfccc.int/process-and-meetings/the-kyoto-protocol/mechanisms-under-the-kyoto-protocol/the-clean-development-mechanism" TargetMode="External"/><Relationship Id="rId18" Type="http://schemas.openxmlformats.org/officeDocument/2006/relationships/image" Target="media/image3.png"/><Relationship Id="rId3" Type="http://schemas.openxmlformats.org/officeDocument/2006/relationships/settings" Target="settings.xml"/><Relationship Id="rId21" Type="http://schemas.openxmlformats.org/officeDocument/2006/relationships/hyperlink" Target="https://climateactiontracker.org/global/emissions-pathways/" TargetMode="External"/><Relationship Id="rId7" Type="http://schemas.openxmlformats.org/officeDocument/2006/relationships/image" Target="media/image1.png"/><Relationship Id="rId12" Type="http://schemas.openxmlformats.org/officeDocument/2006/relationships/hyperlink" Target="https://www.carbonsense.net/assets/articles/a-short-history-of-the-voluntary-carbon-market.html" TargetMode="External"/><Relationship Id="rId17" Type="http://schemas.openxmlformats.org/officeDocument/2006/relationships/hyperlink" Target="https://www.ipcc.ch/assessment-report/ar6/"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ipcc.ch/" TargetMode="External"/><Relationship Id="rId20" Type="http://schemas.openxmlformats.org/officeDocument/2006/relationships/hyperlink" Target="https://www.carbonsense.net/index.htm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unfccc.int/process/the-kyoto-protocol/mechanisms/emissions-trading"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unfccc.int/process-and-meetings/the-paris-agreement" TargetMode="External"/><Relationship Id="rId23" Type="http://schemas.openxmlformats.org/officeDocument/2006/relationships/hyperlink" Target="https://worldemissions.io/" TargetMode="External"/><Relationship Id="rId10" Type="http://schemas.openxmlformats.org/officeDocument/2006/relationships/hyperlink" Target="https://unfccc.int/process-and-meetings/the-kyoto-protocol" TargetMode="External"/><Relationship Id="rId19" Type="http://schemas.openxmlformats.org/officeDocument/2006/relationships/hyperlink" Target="https://www.carbonsense.net/assets/articles/carbon-budgets-from-concept-to-implementation.html" TargetMode="External"/><Relationship Id="rId4" Type="http://schemas.openxmlformats.org/officeDocument/2006/relationships/webSettings" Target="webSettings.xml"/><Relationship Id="rId9" Type="http://schemas.openxmlformats.org/officeDocument/2006/relationships/hyperlink" Target="https://unfccc.int/process-and-meetings/united-nations-framework-convention-on-climate-change" TargetMode="External"/><Relationship Id="rId14" Type="http://schemas.openxmlformats.org/officeDocument/2006/relationships/hyperlink" Target="https://unfccc.int/process/the-kyoto-protocol/mechanisms/joint-implementation" TargetMode="External"/><Relationship Id="rId22" Type="http://schemas.openxmlformats.org/officeDocument/2006/relationships/hyperlink" Target="https://www.carbonsense.net/index.html"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footnotes.xml.rels><?xml version="1.0" encoding="UTF-8" standalone="yes"?>
<Relationships xmlns="http://schemas.openxmlformats.org/package/2006/relationships"><Relationship Id="rId3" Type="http://schemas.openxmlformats.org/officeDocument/2006/relationships/hyperlink" Target="https://dx.doi.org/10.1017/9781009157896.001" TargetMode="External"/><Relationship Id="rId7" Type="http://schemas.openxmlformats.org/officeDocument/2006/relationships/hyperlink" Target="https://www.c2es.org/content/main-greenhouse-gases/" TargetMode="External"/><Relationship Id="rId2" Type="http://schemas.openxmlformats.org/officeDocument/2006/relationships/hyperlink" Target="https://unfccc.int/sites/default/files/resource/docs/cop3/l07a01.pdf" TargetMode="External"/><Relationship Id="rId1" Type="http://schemas.openxmlformats.org/officeDocument/2006/relationships/hyperlink" Target="https://unfccc.int/resource/docs/convkp/conveng.pdf" TargetMode="External"/><Relationship Id="rId6" Type="http://schemas.openxmlformats.org/officeDocument/2006/relationships/hyperlink" Target="https://www.ipcc.ch/report/ar6/syr/downloads/report/IPCC_AR6_SYR_FullVolume.pdf" TargetMode="External"/><Relationship Id="rId5" Type="http://schemas.openxmlformats.org/officeDocument/2006/relationships/hyperlink" Target="https://www.ipcc.ch/report/ar6/syr/downloads/report/IPCC_AR6_SYR_FullVolume.pdf" TargetMode="External"/><Relationship Id="rId4" Type="http://schemas.openxmlformats.org/officeDocument/2006/relationships/hyperlink" Target="https://dx.doi.org/10.1017/9781009157896.0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16</Pages>
  <Words>4210</Words>
  <Characters>24462</Characters>
  <Application>Microsoft Office Word</Application>
  <DocSecurity>0</DocSecurity>
  <Lines>407</Lines>
  <Paragraphs>235</Paragraphs>
  <ScaleCrop>false</ScaleCrop>
  <Company/>
  <LinksUpToDate>false</LinksUpToDate>
  <CharactersWithSpaces>28437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Charles Nicholson</cp:lastModifiedBy>
  <cp:revision>2</cp:revision>
  <dcterms:created xsi:type="dcterms:W3CDTF">2026-03-05T15:56:00Z</dcterms:created>
  <dcterms:modified xsi:type="dcterms:W3CDTF">2026-03-05T15:58:00Z</dcterms:modified>
</cp:coreProperties>
</file>