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3AAAB" w14:textId="12FBAAF7" w:rsidR="00AF7732" w:rsidRPr="007B3348" w:rsidRDefault="00000000" w:rsidP="007B3348">
      <w:pPr>
        <w:spacing w:after="280" w:line="240" w:lineRule="auto"/>
        <w:jc w:val="left"/>
        <w:rPr>
          <w:rFonts w:eastAsia="Times New Roman"/>
          <w:b/>
          <w:bCs/>
          <w:sz w:val="24"/>
          <w:szCs w:val="24"/>
        </w:rPr>
      </w:pPr>
      <w:sdt>
        <w:sdtPr>
          <w:tag w:val="goog_rdk_48"/>
          <w:id w:val="-1145018079"/>
        </w:sdtPr>
        <w:sdtContent/>
      </w:sdt>
      <w:r w:rsidR="00AF7732" w:rsidRPr="0091700A">
        <w:rPr>
          <w:rFonts w:eastAsia="Times New Roman"/>
          <w:sz w:val="24"/>
          <w:szCs w:val="24"/>
        </w:rPr>
        <w:t xml:space="preserve">Global climate finance is rising impressively but not fast or fairly enough. The world is getting better at counting megawatts, gigatons, and their respective financial flows, but still struggles to measure a critical component to decouple economic growth from emissions: the social implications of transitions. This “silent” line item in the climate ledger is the cost of helping communities and workers navigate </w:t>
      </w:r>
      <w:proofErr w:type="spellStart"/>
      <w:r w:rsidR="00AF7732" w:rsidRPr="0091700A">
        <w:rPr>
          <w:rFonts w:eastAsia="Times New Roman"/>
          <w:sz w:val="24"/>
          <w:szCs w:val="24"/>
        </w:rPr>
        <w:t>decarbonisation</w:t>
      </w:r>
      <w:proofErr w:type="spellEnd"/>
      <w:r w:rsidR="00AF7732" w:rsidRPr="0091700A">
        <w:rPr>
          <w:rFonts w:eastAsia="Times New Roman"/>
          <w:sz w:val="24"/>
          <w:szCs w:val="24"/>
        </w:rPr>
        <w:t>.</w:t>
      </w:r>
    </w:p>
    <w:p w14:paraId="7FD74852" w14:textId="77777777" w:rsidR="00AF7732" w:rsidRPr="0091700A" w:rsidRDefault="00AF7732" w:rsidP="0091700A">
      <w:pPr>
        <w:spacing w:before="280" w:after="280" w:line="240" w:lineRule="auto"/>
        <w:jc w:val="both"/>
        <w:rPr>
          <w:rFonts w:eastAsia="Times New Roman"/>
          <w:sz w:val="24"/>
          <w:szCs w:val="24"/>
        </w:rPr>
      </w:pPr>
      <w:r w:rsidRPr="0091700A">
        <w:rPr>
          <w:rFonts w:eastAsia="Times New Roman"/>
          <w:sz w:val="24"/>
          <w:szCs w:val="24"/>
        </w:rPr>
        <w:t xml:space="preserve">At its core, a just transition means shifting to a sustainable, low-carbon economy in a way that is fair and inclusive. </w:t>
      </w:r>
      <w:sdt>
        <w:sdtPr>
          <w:rPr>
            <w:sz w:val="24"/>
            <w:szCs w:val="24"/>
          </w:rPr>
          <w:tag w:val="goog_rdk_49"/>
          <w:id w:val="-1555965377"/>
        </w:sdtPr>
        <w:sdtContent/>
      </w:sdt>
      <w:r w:rsidRPr="0091700A">
        <w:rPr>
          <w:rFonts w:eastAsia="Times New Roman"/>
          <w:sz w:val="24"/>
          <w:szCs w:val="24"/>
        </w:rPr>
        <w:t>It ensures that no worker, community, or region is left behind as fossil fuel industries decline and cleaner systems expand. The concept, originating in labor movements and enshrined in the Paris Agreement, now underpins climate justice efforts worldwide.</w:t>
      </w:r>
      <w:r w:rsidRPr="0091700A">
        <w:rPr>
          <w:rFonts w:eastAsia="Times New Roman"/>
          <w:sz w:val="24"/>
          <w:szCs w:val="24"/>
          <w:vertAlign w:val="superscript"/>
        </w:rPr>
        <w:footnoteReference w:id="1"/>
      </w:r>
      <w:r w:rsidRPr="0091700A">
        <w:rPr>
          <w:rFonts w:eastAsia="Times New Roman"/>
          <w:sz w:val="24"/>
          <w:szCs w:val="24"/>
          <w:vertAlign w:val="superscript"/>
        </w:rPr>
        <w:t>,</w:t>
      </w:r>
      <w:r w:rsidRPr="0091700A">
        <w:rPr>
          <w:rFonts w:eastAsia="Times New Roman"/>
          <w:sz w:val="24"/>
          <w:szCs w:val="24"/>
          <w:vertAlign w:val="superscript"/>
        </w:rPr>
        <w:footnoteReference w:id="2"/>
      </w:r>
      <w:r w:rsidRPr="0091700A">
        <w:rPr>
          <w:rFonts w:eastAsia="Times New Roman"/>
          <w:sz w:val="24"/>
          <w:szCs w:val="24"/>
          <w:vertAlign w:val="superscript"/>
        </w:rPr>
        <w:t xml:space="preserve"> </w:t>
      </w:r>
      <w:r w:rsidRPr="0091700A">
        <w:rPr>
          <w:rFonts w:eastAsia="Times New Roman"/>
          <w:sz w:val="24"/>
          <w:szCs w:val="24"/>
        </w:rPr>
        <w:t xml:space="preserve"> It addresses the uneven impacts of climate action by combining environmental ambition with protections for livelihoods, equity, and opportunity.</w:t>
      </w:r>
      <w:r w:rsidRPr="0091700A">
        <w:rPr>
          <w:rFonts w:eastAsia="Times New Roman"/>
          <w:sz w:val="24"/>
          <w:szCs w:val="24"/>
          <w:vertAlign w:val="superscript"/>
        </w:rPr>
        <w:footnoteReference w:id="3"/>
      </w:r>
    </w:p>
    <w:p w14:paraId="00FE68B4" w14:textId="77777777" w:rsidR="00AF7732" w:rsidRPr="0091700A" w:rsidRDefault="00AF7732" w:rsidP="0091700A">
      <w:pPr>
        <w:spacing w:before="280" w:after="280" w:line="240" w:lineRule="auto"/>
        <w:jc w:val="both"/>
        <w:rPr>
          <w:rFonts w:eastAsia="Times New Roman"/>
          <w:sz w:val="24"/>
          <w:szCs w:val="24"/>
        </w:rPr>
      </w:pPr>
      <w:r w:rsidRPr="0091700A">
        <w:rPr>
          <w:rFonts w:eastAsia="Times New Roman"/>
          <w:sz w:val="24"/>
          <w:szCs w:val="24"/>
        </w:rPr>
        <w:t xml:space="preserve">Current climate finance flows reached approximately USD 1.3 trillion annually in 2021 and 2022 and rose to around $1.9 trillion in 2023, with an estimated $2.1 trillion in 2024. However, some estimates of the </w:t>
      </w:r>
      <w:r w:rsidRPr="0091700A">
        <w:rPr>
          <w:rFonts w:eastAsia="Times New Roman"/>
          <w:b/>
          <w:bCs/>
          <w:sz w:val="24"/>
          <w:szCs w:val="24"/>
          <w:u w:val="single"/>
        </w:rPr>
        <w:t>annual investment</w:t>
      </w:r>
      <w:r w:rsidRPr="0091700A">
        <w:rPr>
          <w:rFonts w:eastAsia="Times New Roman"/>
          <w:sz w:val="24"/>
          <w:szCs w:val="24"/>
        </w:rPr>
        <w:t xml:space="preserve"> required to stay within the 1.5–2 °C pathway lie between $5.4 and 11.7 trillion through 2030.</w:t>
      </w:r>
      <w:r w:rsidRPr="0091700A">
        <w:rPr>
          <w:rFonts w:eastAsia="Times New Roman"/>
          <w:sz w:val="24"/>
          <w:szCs w:val="24"/>
          <w:vertAlign w:val="superscript"/>
        </w:rPr>
        <w:footnoteReference w:id="4"/>
      </w:r>
      <w:r w:rsidRPr="0091700A">
        <w:rPr>
          <w:rFonts w:eastAsia="Times New Roman"/>
          <w:sz w:val="24"/>
          <w:szCs w:val="24"/>
          <w:vertAlign w:val="superscript"/>
        </w:rPr>
        <w:t>,</w:t>
      </w:r>
      <w:r w:rsidRPr="0091700A">
        <w:rPr>
          <w:rFonts w:eastAsia="Times New Roman"/>
          <w:sz w:val="24"/>
          <w:szCs w:val="24"/>
          <w:vertAlign w:val="superscript"/>
        </w:rPr>
        <w:footnoteReference w:id="5"/>
      </w:r>
      <w:sdt>
        <w:sdtPr>
          <w:rPr>
            <w:sz w:val="24"/>
            <w:szCs w:val="24"/>
          </w:rPr>
          <w:tag w:val="goog_rdk_50"/>
          <w:id w:val="1377793927"/>
        </w:sdtPr>
        <w:sdtContent/>
      </w:sdt>
      <w:sdt>
        <w:sdtPr>
          <w:rPr>
            <w:sz w:val="24"/>
            <w:szCs w:val="24"/>
          </w:rPr>
          <w:tag w:val="goog_rdk_51"/>
          <w:id w:val="-993684467"/>
        </w:sdtPr>
        <w:sdtContent/>
      </w:sdt>
    </w:p>
    <w:p w14:paraId="3B037F0F" w14:textId="77777777" w:rsidR="00AF7732" w:rsidRPr="0091700A" w:rsidRDefault="00000000" w:rsidP="0091700A">
      <w:pPr>
        <w:spacing w:before="280" w:after="280" w:line="240" w:lineRule="auto"/>
        <w:jc w:val="both"/>
        <w:rPr>
          <w:rFonts w:eastAsia="Times New Roman"/>
          <w:sz w:val="24"/>
          <w:szCs w:val="24"/>
        </w:rPr>
      </w:pPr>
      <w:sdt>
        <w:sdtPr>
          <w:rPr>
            <w:sz w:val="24"/>
            <w:szCs w:val="24"/>
          </w:rPr>
          <w:tag w:val="goog_rdk_52"/>
          <w:id w:val="-1913961931"/>
        </w:sdtPr>
        <w:sdtContent/>
      </w:sdt>
      <w:r w:rsidR="00AF7732" w:rsidRPr="0091700A">
        <w:rPr>
          <w:rFonts w:eastAsia="Times New Roman"/>
          <w:sz w:val="24"/>
          <w:szCs w:val="24"/>
        </w:rPr>
        <w:t>[ SANKEY PLOT]</w:t>
      </w:r>
    </w:p>
    <w:p w14:paraId="102E28BD" w14:textId="77777777" w:rsidR="00AF7732" w:rsidRPr="0091700A" w:rsidRDefault="00000000" w:rsidP="0091700A">
      <w:pPr>
        <w:spacing w:before="280" w:after="280" w:line="240" w:lineRule="auto"/>
        <w:jc w:val="both"/>
        <w:rPr>
          <w:rFonts w:eastAsia="Times New Roman"/>
          <w:sz w:val="24"/>
          <w:szCs w:val="24"/>
        </w:rPr>
      </w:pPr>
      <w:sdt>
        <w:sdtPr>
          <w:rPr>
            <w:sz w:val="24"/>
            <w:szCs w:val="24"/>
          </w:rPr>
          <w:tag w:val="goog_rdk_53"/>
          <w:id w:val="-2126036079"/>
        </w:sdtPr>
        <w:sdtContent/>
      </w:sdt>
      <w:r w:rsidR="00AF7732" w:rsidRPr="0091700A">
        <w:rPr>
          <w:rFonts w:eastAsia="Times New Roman"/>
          <w:sz w:val="24"/>
          <w:szCs w:val="24"/>
        </w:rPr>
        <w:t>Adaptation efforts are even more underfunded; developing countries require $194–366 billion annually this decade for adaptation, while only $21 billion was directed toward adaptation in 2021.</w:t>
      </w:r>
      <w:r w:rsidR="00AF7732" w:rsidRPr="0091700A">
        <w:rPr>
          <w:rFonts w:eastAsia="Times New Roman"/>
          <w:sz w:val="24"/>
          <w:szCs w:val="24"/>
          <w:vertAlign w:val="superscript"/>
        </w:rPr>
        <w:footnoteReference w:id="6"/>
      </w:r>
      <w:r w:rsidR="00AF7732" w:rsidRPr="0091700A">
        <w:rPr>
          <w:rFonts w:eastAsia="Times New Roman"/>
          <w:sz w:val="24"/>
          <w:szCs w:val="24"/>
        </w:rPr>
        <w:t xml:space="preserve"> </w:t>
      </w:r>
      <w:sdt>
        <w:sdtPr>
          <w:rPr>
            <w:sz w:val="24"/>
            <w:szCs w:val="24"/>
          </w:rPr>
          <w:tag w:val="goog_rdk_54"/>
          <w:id w:val="195649188"/>
        </w:sdtPr>
        <w:sdtContent/>
      </w:sdt>
      <w:r w:rsidR="00AF7732" w:rsidRPr="0091700A">
        <w:rPr>
          <w:rFonts w:eastAsia="Times New Roman"/>
          <w:sz w:val="24"/>
          <w:szCs w:val="24"/>
        </w:rPr>
        <w:t xml:space="preserve">These data reveal a second imbalance, the gap between mitigation </w:t>
      </w:r>
      <w:proofErr w:type="gramStart"/>
      <w:r w:rsidR="00AF7732" w:rsidRPr="0091700A">
        <w:rPr>
          <w:rFonts w:eastAsia="Times New Roman"/>
          <w:sz w:val="24"/>
          <w:szCs w:val="24"/>
        </w:rPr>
        <w:t>actions  (</w:t>
      </w:r>
      <w:proofErr w:type="gramEnd"/>
      <w:r w:rsidR="00AF7732" w:rsidRPr="0091700A">
        <w:rPr>
          <w:rFonts w:eastAsia="Times New Roman"/>
          <w:sz w:val="24"/>
          <w:szCs w:val="24"/>
        </w:rPr>
        <w:t xml:space="preserve">aimed at reducing greenhouse gas emissions) and adaptation actions (coping with climate change impacts). </w:t>
      </w:r>
    </w:p>
    <w:p w14:paraId="55DD81C6" w14:textId="77777777" w:rsidR="00AF7732" w:rsidRPr="0091700A" w:rsidRDefault="00000000" w:rsidP="0091700A">
      <w:pPr>
        <w:spacing w:before="280" w:after="280" w:line="240" w:lineRule="auto"/>
        <w:jc w:val="both"/>
        <w:rPr>
          <w:rFonts w:eastAsia="Times New Roman"/>
          <w:sz w:val="24"/>
          <w:szCs w:val="24"/>
        </w:rPr>
      </w:pPr>
      <w:sdt>
        <w:sdtPr>
          <w:rPr>
            <w:sz w:val="24"/>
            <w:szCs w:val="24"/>
          </w:rPr>
          <w:tag w:val="goog_rdk_55"/>
          <w:id w:val="371239574"/>
        </w:sdtPr>
        <w:sdtContent/>
      </w:sdt>
      <w:r w:rsidR="00AF7732" w:rsidRPr="0091700A">
        <w:rPr>
          <w:rFonts w:eastAsia="Times New Roman"/>
          <w:sz w:val="24"/>
          <w:szCs w:val="24"/>
        </w:rPr>
        <w:t>[MAP PLOT]</w:t>
      </w:r>
    </w:p>
    <w:p w14:paraId="2DC85BBA" w14:textId="77777777" w:rsidR="00AF7732" w:rsidRPr="0091700A" w:rsidRDefault="00AF7732" w:rsidP="0091700A">
      <w:pPr>
        <w:spacing w:before="280" w:after="280" w:line="240" w:lineRule="auto"/>
        <w:jc w:val="both"/>
        <w:rPr>
          <w:rFonts w:eastAsia="Times New Roman"/>
          <w:sz w:val="24"/>
          <w:szCs w:val="24"/>
        </w:rPr>
      </w:pPr>
      <w:r w:rsidRPr="0091700A">
        <w:rPr>
          <w:rFonts w:eastAsia="Times New Roman"/>
          <w:sz w:val="24"/>
          <w:szCs w:val="24"/>
        </w:rPr>
        <w:t xml:space="preserve">Overlaying these two shortfalls—mitigation and adaptation—is a third imbalance: the just transition. It covers income bridges, reskilling, and regional redevelopment. Unlike turbines or seawalls, these costs rarely appear in financial trackers, yet they determine whether </w:t>
      </w:r>
      <w:proofErr w:type="spellStart"/>
      <w:r w:rsidRPr="0091700A">
        <w:rPr>
          <w:rFonts w:eastAsia="Times New Roman"/>
          <w:sz w:val="24"/>
          <w:szCs w:val="24"/>
        </w:rPr>
        <w:t>decarbonisation</w:t>
      </w:r>
      <w:proofErr w:type="spellEnd"/>
      <w:r w:rsidRPr="0091700A">
        <w:rPr>
          <w:rFonts w:eastAsia="Times New Roman"/>
          <w:sz w:val="24"/>
          <w:szCs w:val="24"/>
        </w:rPr>
        <w:t xml:space="preserve"> holds politically and socially. </w:t>
      </w:r>
    </w:p>
    <w:p w14:paraId="7A73BD64" w14:textId="77777777" w:rsidR="00AF7732" w:rsidRPr="0091700A" w:rsidRDefault="00AF7732" w:rsidP="0091700A">
      <w:pPr>
        <w:spacing w:before="280" w:after="280" w:line="240" w:lineRule="auto"/>
        <w:jc w:val="both"/>
        <w:rPr>
          <w:rFonts w:eastAsia="Times New Roman"/>
          <w:sz w:val="24"/>
          <w:szCs w:val="24"/>
        </w:rPr>
      </w:pPr>
      <w:r w:rsidRPr="0091700A">
        <w:rPr>
          <w:rFonts w:eastAsia="Times New Roman"/>
          <w:sz w:val="24"/>
          <w:szCs w:val="24"/>
        </w:rPr>
        <w:lastRenderedPageBreak/>
        <w:t xml:space="preserve">Some regions have started to acknowledge this issue. The European Union’s Just Transition Mechanism is a clear example. Between 2021 and 2027 it aims to </w:t>
      </w:r>
      <w:proofErr w:type="spellStart"/>
      <w:r w:rsidRPr="0091700A">
        <w:rPr>
          <w:rFonts w:eastAsia="Times New Roman"/>
          <w:sz w:val="24"/>
          <w:szCs w:val="24"/>
        </w:rPr>
        <w:t>mobilise</w:t>
      </w:r>
      <w:proofErr w:type="spellEnd"/>
      <w:r w:rsidRPr="0091700A">
        <w:rPr>
          <w:rFonts w:eastAsia="Times New Roman"/>
          <w:sz w:val="24"/>
          <w:szCs w:val="24"/>
        </w:rPr>
        <w:t xml:space="preserve"> about €55 billion, including €19.7 billion in grants.</w:t>
      </w:r>
      <w:r w:rsidRPr="0091700A">
        <w:rPr>
          <w:rFonts w:eastAsia="Times New Roman"/>
          <w:sz w:val="24"/>
          <w:szCs w:val="24"/>
          <w:vertAlign w:val="superscript"/>
        </w:rPr>
        <w:footnoteReference w:id="7"/>
      </w:r>
      <w:r w:rsidRPr="0091700A">
        <w:rPr>
          <w:rFonts w:eastAsia="Times New Roman"/>
          <w:sz w:val="24"/>
          <w:szCs w:val="24"/>
        </w:rPr>
        <w:t xml:space="preserve"> However, as seen by the numbers, this might cover only a fraction of Europe’s high-capacity industrial regions, suggesting the order of magnitude required elsewhere will be much higher.</w:t>
      </w:r>
    </w:p>
    <w:p w14:paraId="4535A8D4" w14:textId="77777777" w:rsidR="00AF7732" w:rsidRPr="0091700A" w:rsidRDefault="00000000" w:rsidP="0091700A">
      <w:pPr>
        <w:spacing w:before="280" w:after="280" w:line="240" w:lineRule="auto"/>
        <w:jc w:val="both"/>
        <w:rPr>
          <w:rFonts w:eastAsia="Times New Roman"/>
          <w:sz w:val="24"/>
          <w:szCs w:val="24"/>
        </w:rPr>
      </w:pPr>
      <w:sdt>
        <w:sdtPr>
          <w:rPr>
            <w:sz w:val="24"/>
            <w:szCs w:val="24"/>
          </w:rPr>
          <w:tag w:val="goog_rdk_56"/>
          <w:id w:val="251608068"/>
        </w:sdtPr>
        <w:sdtContent/>
      </w:sdt>
      <w:sdt>
        <w:sdtPr>
          <w:rPr>
            <w:sz w:val="24"/>
            <w:szCs w:val="24"/>
          </w:rPr>
          <w:tag w:val="goog_rdk_57"/>
          <w:id w:val="-818509050"/>
        </w:sdtPr>
        <w:sdtContent/>
      </w:sdt>
      <w:r w:rsidR="00AF7732" w:rsidRPr="0091700A">
        <w:rPr>
          <w:rFonts w:eastAsia="Times New Roman"/>
          <w:sz w:val="24"/>
          <w:szCs w:val="24"/>
        </w:rPr>
        <w:t xml:space="preserve">The example of Spain demonstrates why the just transition is difficult to size. The government approved about €7 billion in clean energy investments through the period 2021-2026, of which 27% (€1.9 billion) is earmarked for integrating renewables and relieving technical constraints to </w:t>
      </w:r>
      <w:proofErr w:type="spellStart"/>
      <w:r w:rsidR="00AF7732" w:rsidRPr="0091700A">
        <w:rPr>
          <w:rFonts w:eastAsia="Times New Roman"/>
          <w:sz w:val="24"/>
          <w:szCs w:val="24"/>
        </w:rPr>
        <w:t>maximise</w:t>
      </w:r>
      <w:proofErr w:type="spellEnd"/>
      <w:r w:rsidR="00AF7732" w:rsidRPr="0091700A">
        <w:rPr>
          <w:rFonts w:eastAsia="Times New Roman"/>
          <w:sz w:val="24"/>
          <w:szCs w:val="24"/>
        </w:rPr>
        <w:t xml:space="preserve"> renewable output and use of the existing network.</w:t>
      </w:r>
      <w:r w:rsidR="00AF7732" w:rsidRPr="0091700A">
        <w:rPr>
          <w:rFonts w:eastAsia="Times New Roman"/>
          <w:sz w:val="24"/>
          <w:szCs w:val="24"/>
          <w:vertAlign w:val="superscript"/>
        </w:rPr>
        <w:footnoteReference w:id="8"/>
      </w:r>
      <w:r w:rsidR="00AF7732" w:rsidRPr="0091700A">
        <w:rPr>
          <w:rFonts w:eastAsia="Times New Roman"/>
          <w:sz w:val="24"/>
          <w:szCs w:val="24"/>
        </w:rPr>
        <w:t xml:space="preserve"> Note that this is system infrastructure for </w:t>
      </w:r>
      <w:proofErr w:type="spellStart"/>
      <w:r w:rsidR="00AF7732" w:rsidRPr="0091700A">
        <w:rPr>
          <w:rFonts w:eastAsia="Times New Roman"/>
          <w:sz w:val="24"/>
          <w:szCs w:val="24"/>
        </w:rPr>
        <w:t>decarbonisation</w:t>
      </w:r>
      <w:proofErr w:type="spellEnd"/>
      <w:r w:rsidR="00AF7732" w:rsidRPr="0091700A">
        <w:rPr>
          <w:rFonts w:eastAsia="Times New Roman"/>
          <w:sz w:val="24"/>
          <w:szCs w:val="24"/>
        </w:rPr>
        <w:t>, not just-transition support. On the social side, Spain’s EU Just Transition Fund allocation is about €869 million for 2021–2027, and the Andorra (Teruel) award sets specifically €60 million for employment, training, and community projects within a wider renewables package of €1.5 billion.</w:t>
      </w:r>
      <w:r w:rsidR="00AF7732" w:rsidRPr="0091700A">
        <w:rPr>
          <w:rFonts w:eastAsia="Times New Roman"/>
          <w:sz w:val="24"/>
          <w:szCs w:val="24"/>
          <w:vertAlign w:val="superscript"/>
        </w:rPr>
        <w:footnoteReference w:id="9"/>
      </w:r>
      <w:r w:rsidR="00AF7732" w:rsidRPr="0091700A">
        <w:rPr>
          <w:rFonts w:eastAsia="Times New Roman"/>
          <w:sz w:val="24"/>
          <w:szCs w:val="24"/>
        </w:rPr>
        <w:t xml:space="preserve"> Read together, social measures are a small slice of the capital going into replacement technologies: around 4% in Andorra, and closer to 12.4% at the national level when you compare JTF grants with the multi-project investment portfolio.</w:t>
      </w:r>
    </w:p>
    <w:p w14:paraId="369A9E77" w14:textId="77777777" w:rsidR="00AF7732" w:rsidRPr="0091700A" w:rsidRDefault="00000000" w:rsidP="0091700A">
      <w:pPr>
        <w:spacing w:before="280" w:after="280" w:line="240" w:lineRule="auto"/>
        <w:jc w:val="both"/>
        <w:rPr>
          <w:rFonts w:eastAsia="Times New Roman"/>
          <w:sz w:val="24"/>
          <w:szCs w:val="24"/>
        </w:rPr>
      </w:pPr>
      <w:sdt>
        <w:sdtPr>
          <w:rPr>
            <w:sz w:val="24"/>
            <w:szCs w:val="24"/>
          </w:rPr>
          <w:tag w:val="goog_rdk_58"/>
          <w:id w:val="-783295266"/>
        </w:sdtPr>
        <w:sdtContent/>
      </w:sdt>
      <w:sdt>
        <w:sdtPr>
          <w:rPr>
            <w:sz w:val="24"/>
            <w:szCs w:val="24"/>
          </w:rPr>
          <w:tag w:val="goog_rdk_59"/>
          <w:id w:val="-1235278894"/>
        </w:sdtPr>
        <w:sdtContent/>
      </w:sdt>
      <w:r w:rsidR="00AF7732" w:rsidRPr="0091700A">
        <w:rPr>
          <w:rFonts w:eastAsia="Times New Roman"/>
          <w:sz w:val="24"/>
          <w:szCs w:val="24"/>
        </w:rPr>
        <w:t xml:space="preserve">Outside the EU, countries are testing blended packages through Just Energy Transition Partnerships. In South Africa’s plan, the international partners’ </w:t>
      </w:r>
      <w:sdt>
        <w:sdtPr>
          <w:rPr>
            <w:sz w:val="24"/>
            <w:szCs w:val="24"/>
          </w:rPr>
          <w:tag w:val="goog_rdk_60"/>
          <w:id w:val="-953941218"/>
          <w:showingPlcHdr/>
        </w:sdtPr>
        <w:sdtContent>
          <w:r w:rsidR="00AF7732" w:rsidRPr="0091700A">
            <w:rPr>
              <w:sz w:val="24"/>
              <w:szCs w:val="24"/>
            </w:rPr>
            <w:t xml:space="preserve">     </w:t>
          </w:r>
        </w:sdtContent>
      </w:sdt>
      <w:sdt>
        <w:sdtPr>
          <w:rPr>
            <w:sz w:val="24"/>
            <w:szCs w:val="24"/>
          </w:rPr>
          <w:tag w:val="goog_rdk_61"/>
          <w:id w:val="1550271750"/>
        </w:sdtPr>
        <w:sdtContent>
          <w:sdt>
            <w:sdtPr>
              <w:rPr>
                <w:sz w:val="24"/>
                <w:szCs w:val="24"/>
              </w:rPr>
              <w:tag w:val="goog_rdk_62"/>
              <w:id w:val="1367795676"/>
              <w:showingPlcHdr/>
            </w:sdtPr>
            <w:sdtContent>
              <w:r w:rsidR="00AF7732" w:rsidRPr="0091700A">
                <w:rPr>
                  <w:sz w:val="24"/>
                  <w:szCs w:val="24"/>
                </w:rPr>
                <w:t xml:space="preserve">     </w:t>
              </w:r>
            </w:sdtContent>
          </w:sdt>
        </w:sdtContent>
      </w:sdt>
      <w:r w:rsidR="00AF7732" w:rsidRPr="0091700A">
        <w:rPr>
          <w:rFonts w:eastAsia="Times New Roman"/>
          <w:sz w:val="24"/>
          <w:szCs w:val="24"/>
        </w:rPr>
        <w:t>$8.5 billion pledge is steered almost entirely to infrastructure and implementation capacity, with only</w:t>
      </w:r>
      <w:sdt>
        <w:sdtPr>
          <w:rPr>
            <w:sz w:val="24"/>
            <w:szCs w:val="24"/>
          </w:rPr>
          <w:tag w:val="goog_rdk_63"/>
          <w:id w:val="-289395109"/>
          <w:showingPlcHdr/>
        </w:sdtPr>
        <w:sdtContent>
          <w:r w:rsidR="00AF7732" w:rsidRPr="0091700A">
            <w:rPr>
              <w:sz w:val="24"/>
              <w:szCs w:val="24"/>
            </w:rPr>
            <w:t xml:space="preserve">     </w:t>
          </w:r>
        </w:sdtContent>
      </w:sdt>
      <w:r w:rsidR="00AF7732" w:rsidRPr="0091700A">
        <w:rPr>
          <w:rFonts w:eastAsia="Times New Roman"/>
          <w:sz w:val="24"/>
          <w:szCs w:val="24"/>
        </w:rPr>
        <w:t>$50 million ( less than 1%) explicitly tagged for skills, social inclusion, and economic diversification.</w:t>
      </w:r>
      <w:r w:rsidR="00AF7732" w:rsidRPr="0091700A">
        <w:rPr>
          <w:rFonts w:eastAsia="Times New Roman"/>
          <w:sz w:val="24"/>
          <w:szCs w:val="24"/>
          <w:vertAlign w:val="superscript"/>
        </w:rPr>
        <w:footnoteReference w:id="10"/>
      </w:r>
      <w:r w:rsidR="00AF7732" w:rsidRPr="0091700A">
        <w:rPr>
          <w:rFonts w:eastAsia="Times New Roman"/>
          <w:sz w:val="24"/>
          <w:szCs w:val="24"/>
        </w:rPr>
        <w:t xml:space="preserve"> Meanwhile, Indonesia’s plan similarly centers </w:t>
      </w:r>
      <w:sdt>
        <w:sdtPr>
          <w:rPr>
            <w:sz w:val="24"/>
            <w:szCs w:val="24"/>
          </w:rPr>
          <w:tag w:val="goog_rdk_64"/>
          <w:id w:val="-1332817732"/>
        </w:sdtPr>
        <w:sdtContent>
          <w:r w:rsidR="00AF7732" w:rsidRPr="0091700A">
            <w:rPr>
              <w:rFonts w:eastAsia="Times New Roman"/>
              <w:sz w:val="24"/>
              <w:szCs w:val="24"/>
            </w:rPr>
            <w:t xml:space="preserve">on </w:t>
          </w:r>
        </w:sdtContent>
      </w:sdt>
      <w:r w:rsidR="00AF7732" w:rsidRPr="0091700A">
        <w:rPr>
          <w:rFonts w:eastAsia="Times New Roman"/>
          <w:sz w:val="24"/>
          <w:szCs w:val="24"/>
        </w:rPr>
        <w:t>grid expansion, renewables build-out, and early coal retirement; just-transition spending is framed through a Just Transition framework but specific interventions are not yet costed, and adaptation is outside the power-sector scope.</w:t>
      </w:r>
      <w:r w:rsidR="00AF7732" w:rsidRPr="0091700A">
        <w:rPr>
          <w:rFonts w:eastAsia="Times New Roman"/>
          <w:sz w:val="24"/>
          <w:szCs w:val="24"/>
          <w:vertAlign w:val="superscript"/>
        </w:rPr>
        <w:footnoteReference w:id="11"/>
      </w:r>
      <w:r w:rsidR="00AF7732" w:rsidRPr="0091700A">
        <w:rPr>
          <w:rFonts w:eastAsia="Times New Roman"/>
          <w:sz w:val="24"/>
          <w:szCs w:val="24"/>
        </w:rPr>
        <w:t xml:space="preserve"> </w:t>
      </w:r>
    </w:p>
    <w:p w14:paraId="64BDFFB7" w14:textId="77777777" w:rsidR="00AF7732" w:rsidRPr="0091700A" w:rsidRDefault="00AF7732" w:rsidP="0091700A">
      <w:pPr>
        <w:spacing w:before="280" w:after="280" w:line="240" w:lineRule="auto"/>
        <w:jc w:val="both"/>
        <w:rPr>
          <w:rFonts w:eastAsia="Times New Roman"/>
          <w:sz w:val="24"/>
          <w:szCs w:val="24"/>
        </w:rPr>
      </w:pPr>
      <w:r w:rsidRPr="0091700A">
        <w:rPr>
          <w:rFonts w:eastAsia="Times New Roman"/>
          <w:sz w:val="24"/>
          <w:szCs w:val="24"/>
        </w:rPr>
        <w:t xml:space="preserve">Extending this logic to a global estimate fails for reasons that do not affect mitigation or adaptation accounting to the same degree. Mitigation needs to follow engineering and power-system math. Adaptation needs to follow hazard, exposure, and asset-level cost curves. Just transition needs depend on social baselines, labor law, informality, </w:t>
      </w:r>
      <w:proofErr w:type="spellStart"/>
      <w:r w:rsidRPr="0091700A">
        <w:rPr>
          <w:rFonts w:eastAsia="Times New Roman"/>
          <w:sz w:val="24"/>
          <w:szCs w:val="24"/>
        </w:rPr>
        <w:t>unionisation</w:t>
      </w:r>
      <w:proofErr w:type="spellEnd"/>
      <w:r w:rsidRPr="0091700A">
        <w:rPr>
          <w:rFonts w:eastAsia="Times New Roman"/>
          <w:sz w:val="24"/>
          <w:szCs w:val="24"/>
        </w:rPr>
        <w:t xml:space="preserve">, migration frictions, and existing public services. Spain’s regions have unemployment insurance, active </w:t>
      </w:r>
      <w:r w:rsidRPr="0091700A">
        <w:rPr>
          <w:rFonts w:eastAsia="Times New Roman"/>
          <w:sz w:val="24"/>
          <w:szCs w:val="24"/>
        </w:rPr>
        <w:lastRenderedPageBreak/>
        <w:t>labor-market programs, and municipal capacity. Employers in parts of Australia co-finance benefits and retraining, so the public bill is smaller. In India many affected workers lack formal contracts and contributory benefits, so effective support requires broader cash programs, public works, and community services, often at lower per-capita cost but much higher coverage. Add wide differences in prices and wages, the mix of grants and loans, weak tagging of social line items inside energy tenders, and long lags between commitments and disbursements. The result is a moving target that cannot be read from a single experience.</w:t>
      </w:r>
    </w:p>
    <w:p w14:paraId="6807EA11" w14:textId="77777777" w:rsidR="00AF7732" w:rsidRPr="0091700A" w:rsidRDefault="00AF7732" w:rsidP="0091700A">
      <w:pPr>
        <w:spacing w:before="280" w:after="280" w:line="240" w:lineRule="auto"/>
        <w:jc w:val="both"/>
        <w:rPr>
          <w:rFonts w:eastAsia="Times New Roman"/>
          <w:sz w:val="24"/>
          <w:szCs w:val="24"/>
        </w:rPr>
      </w:pPr>
      <w:r w:rsidRPr="0091700A">
        <w:rPr>
          <w:rFonts w:eastAsia="Times New Roman"/>
          <w:sz w:val="24"/>
          <w:szCs w:val="24"/>
        </w:rPr>
        <w:t xml:space="preserve">Some adaptation and mitigation projects already include social components, but due to limited financial classifications and weak mainstreaming, these flows remain untracked. </w:t>
      </w:r>
      <w:sdt>
        <w:sdtPr>
          <w:rPr>
            <w:sz w:val="24"/>
            <w:szCs w:val="24"/>
          </w:rPr>
          <w:tag w:val="goog_rdk_65"/>
          <w:id w:val="-1227903452"/>
        </w:sdtPr>
        <w:sdtContent/>
      </w:sdt>
      <w:r w:rsidRPr="0091700A">
        <w:rPr>
          <w:rFonts w:eastAsia="Times New Roman"/>
          <w:sz w:val="24"/>
          <w:szCs w:val="24"/>
        </w:rPr>
        <w:t xml:space="preserve">Countries like China are channeling massive sums toward mitigation and adaptation programs. </w:t>
      </w:r>
      <w:sdt>
        <w:sdtPr>
          <w:rPr>
            <w:sz w:val="24"/>
            <w:szCs w:val="24"/>
          </w:rPr>
          <w:tag w:val="goog_rdk_66"/>
          <w:id w:val="1474958381"/>
        </w:sdtPr>
        <w:sdtContent/>
      </w:sdt>
      <w:r w:rsidRPr="0091700A">
        <w:rPr>
          <w:rFonts w:eastAsia="Times New Roman"/>
          <w:sz w:val="24"/>
          <w:szCs w:val="24"/>
        </w:rPr>
        <w:t>Yet ensuring these investments are durable and socially legitimate requires embedding just transition financing into their design, not as an afterthought.</w:t>
      </w:r>
    </w:p>
    <w:p w14:paraId="12AB7F2C" w14:textId="77777777" w:rsidR="00AF7732" w:rsidRPr="0091700A" w:rsidRDefault="00AF7732" w:rsidP="0091700A">
      <w:pPr>
        <w:spacing w:before="280" w:after="280" w:line="240" w:lineRule="auto"/>
        <w:jc w:val="both"/>
        <w:rPr>
          <w:rFonts w:eastAsia="Times New Roman"/>
          <w:b/>
          <w:bCs/>
          <w:sz w:val="24"/>
          <w:szCs w:val="24"/>
        </w:rPr>
      </w:pPr>
      <w:r w:rsidRPr="0091700A">
        <w:rPr>
          <w:rFonts w:eastAsia="Times New Roman"/>
          <w:b/>
          <w:bCs/>
          <w:sz w:val="24"/>
          <w:szCs w:val="24"/>
        </w:rPr>
        <w:t>Why does this “</w:t>
      </w:r>
      <w:r w:rsidRPr="0091700A">
        <w:rPr>
          <w:rFonts w:eastAsia="Times New Roman"/>
          <w:b/>
          <w:bCs/>
          <w:i/>
          <w:iCs/>
          <w:sz w:val="24"/>
          <w:szCs w:val="24"/>
        </w:rPr>
        <w:t>silent”</w:t>
      </w:r>
      <w:r w:rsidRPr="0091700A">
        <w:rPr>
          <w:rFonts w:eastAsia="Times New Roman"/>
          <w:b/>
          <w:bCs/>
          <w:sz w:val="24"/>
          <w:szCs w:val="24"/>
        </w:rPr>
        <w:t xml:space="preserve"> imbalance matter?</w:t>
      </w:r>
    </w:p>
    <w:p w14:paraId="583A6B2A" w14:textId="77777777" w:rsidR="00AF7732" w:rsidRPr="0091700A" w:rsidRDefault="00AF7732" w:rsidP="0091700A">
      <w:pPr>
        <w:spacing w:before="280" w:after="280" w:line="240" w:lineRule="auto"/>
        <w:jc w:val="both"/>
        <w:rPr>
          <w:rFonts w:eastAsia="Times New Roman"/>
          <w:sz w:val="24"/>
          <w:szCs w:val="24"/>
        </w:rPr>
      </w:pPr>
      <w:r w:rsidRPr="0091700A">
        <w:rPr>
          <w:rFonts w:eastAsia="Times New Roman"/>
          <w:sz w:val="24"/>
          <w:szCs w:val="24"/>
        </w:rPr>
        <w:t xml:space="preserve">Sectoral transitions are nothing new to policymakers or economists. Throughout history, we have witnessed shifts driven by </w:t>
      </w:r>
      <w:proofErr w:type="spellStart"/>
      <w:r w:rsidRPr="0091700A">
        <w:rPr>
          <w:rFonts w:eastAsia="Times New Roman"/>
          <w:sz w:val="24"/>
          <w:szCs w:val="24"/>
        </w:rPr>
        <w:t>digitalisation</w:t>
      </w:r>
      <w:proofErr w:type="spellEnd"/>
      <w:r w:rsidRPr="0091700A">
        <w:rPr>
          <w:rFonts w:eastAsia="Times New Roman"/>
          <w:sz w:val="24"/>
          <w:szCs w:val="24"/>
        </w:rPr>
        <w:t xml:space="preserve">, efficiency improvements, innovation, and regulation. For instance, the creation of the internet </w:t>
      </w:r>
      <w:proofErr w:type="spellStart"/>
      <w:r w:rsidRPr="0091700A">
        <w:rPr>
          <w:rFonts w:eastAsia="Times New Roman"/>
          <w:sz w:val="24"/>
          <w:szCs w:val="24"/>
        </w:rPr>
        <w:t>revolutionised</w:t>
      </w:r>
      <w:proofErr w:type="spellEnd"/>
      <w:r w:rsidRPr="0091700A">
        <w:rPr>
          <w:rFonts w:eastAsia="Times New Roman"/>
          <w:sz w:val="24"/>
          <w:szCs w:val="24"/>
        </w:rPr>
        <w:t xml:space="preserve"> communication and information flows; the banning of HCFC gases helped protect the ozone layer; and innovations in fracking technology reshaped the energy landscape. These examples highlight how significant sectoral changes can be; but unlike these well-</w:t>
      </w:r>
      <w:proofErr w:type="spellStart"/>
      <w:r w:rsidRPr="0091700A">
        <w:rPr>
          <w:rFonts w:eastAsia="Times New Roman"/>
          <w:sz w:val="24"/>
          <w:szCs w:val="24"/>
        </w:rPr>
        <w:t>recognised</w:t>
      </w:r>
      <w:proofErr w:type="spellEnd"/>
      <w:r w:rsidRPr="0091700A">
        <w:rPr>
          <w:rFonts w:eastAsia="Times New Roman"/>
          <w:sz w:val="24"/>
          <w:szCs w:val="24"/>
        </w:rPr>
        <w:t xml:space="preserve"> shifts, the social dimension of the climate transition often remains invisible. </w:t>
      </w:r>
    </w:p>
    <w:p w14:paraId="542DFC3A" w14:textId="77777777" w:rsidR="00AF7732" w:rsidRPr="0091700A" w:rsidRDefault="00AF7732" w:rsidP="0091700A">
      <w:pPr>
        <w:spacing w:before="280" w:after="280" w:line="240" w:lineRule="auto"/>
        <w:jc w:val="both"/>
        <w:rPr>
          <w:rFonts w:eastAsia="Times New Roman"/>
          <w:sz w:val="24"/>
          <w:szCs w:val="24"/>
        </w:rPr>
      </w:pPr>
      <w:r w:rsidRPr="0091700A">
        <w:rPr>
          <w:rFonts w:eastAsia="Times New Roman"/>
          <w:sz w:val="24"/>
          <w:szCs w:val="24"/>
        </w:rPr>
        <w:t xml:space="preserve">In many developed regions, the decline of the coal sector has been driven by factors beyond environmental regulation or activist pressure. Economic realities, such as unprofitability, competition from cheaper coal-producing areas, and the rise of alternative energy sources, have compelled policymakers to focus attention on these industries, especially when they remain heavily </w:t>
      </w:r>
      <w:proofErr w:type="spellStart"/>
      <w:r w:rsidRPr="0091700A">
        <w:rPr>
          <w:rFonts w:eastAsia="Times New Roman"/>
          <w:sz w:val="24"/>
          <w:szCs w:val="24"/>
        </w:rPr>
        <w:t>subsidised</w:t>
      </w:r>
      <w:proofErr w:type="spellEnd"/>
      <w:r w:rsidRPr="0091700A">
        <w:rPr>
          <w:rFonts w:eastAsia="Times New Roman"/>
          <w:sz w:val="24"/>
          <w:szCs w:val="24"/>
        </w:rPr>
        <w:t xml:space="preserve">. These transitions have been extensively documented in countries like the United States, Spain, </w:t>
      </w:r>
      <w:sdt>
        <w:sdtPr>
          <w:rPr>
            <w:sz w:val="24"/>
            <w:szCs w:val="24"/>
          </w:rPr>
          <w:tag w:val="goog_rdk_67"/>
          <w:id w:val="1904161703"/>
        </w:sdtPr>
        <w:sdtContent/>
      </w:sdt>
      <w:r w:rsidRPr="0091700A">
        <w:rPr>
          <w:rFonts w:eastAsia="Times New Roman"/>
          <w:sz w:val="24"/>
          <w:szCs w:val="24"/>
        </w:rPr>
        <w:t>Germany, and Australia, among other former coal-dependent regions. In most cases, the process has spanned decades, marked by negotiations, protests, stand-offs, and intense lobbying.</w:t>
      </w:r>
    </w:p>
    <w:p w14:paraId="03323256" w14:textId="77777777" w:rsidR="00AF7732" w:rsidRPr="0091700A" w:rsidRDefault="00AF7732" w:rsidP="0091700A">
      <w:pPr>
        <w:spacing w:before="280" w:after="280" w:line="240" w:lineRule="auto"/>
        <w:jc w:val="both"/>
        <w:rPr>
          <w:rFonts w:eastAsia="Times New Roman"/>
          <w:b/>
          <w:bCs/>
          <w:sz w:val="24"/>
          <w:szCs w:val="24"/>
        </w:rPr>
      </w:pPr>
      <w:r w:rsidRPr="0091700A">
        <w:rPr>
          <w:rFonts w:eastAsia="Times New Roman"/>
          <w:b/>
          <w:bCs/>
          <w:sz w:val="24"/>
          <w:szCs w:val="24"/>
        </w:rPr>
        <w:t>But if it is “</w:t>
      </w:r>
      <w:r w:rsidRPr="0091700A">
        <w:rPr>
          <w:rFonts w:eastAsia="Times New Roman"/>
          <w:b/>
          <w:bCs/>
          <w:i/>
          <w:iCs/>
          <w:sz w:val="24"/>
          <w:szCs w:val="24"/>
        </w:rPr>
        <w:t>economic selection”</w:t>
      </w:r>
      <w:r w:rsidRPr="0091700A">
        <w:rPr>
          <w:rFonts w:eastAsia="Times New Roman"/>
          <w:b/>
          <w:bCs/>
          <w:sz w:val="24"/>
          <w:szCs w:val="24"/>
        </w:rPr>
        <w:t>, why bother?</w:t>
      </w:r>
    </w:p>
    <w:p w14:paraId="37C1CAFC" w14:textId="77777777" w:rsidR="00AF7732" w:rsidRPr="0091700A" w:rsidRDefault="00AF7732" w:rsidP="0091700A">
      <w:pPr>
        <w:spacing w:before="280" w:after="280" w:line="240" w:lineRule="auto"/>
        <w:jc w:val="both"/>
        <w:rPr>
          <w:rFonts w:eastAsia="Times New Roman"/>
          <w:sz w:val="24"/>
          <w:szCs w:val="24"/>
        </w:rPr>
      </w:pPr>
      <w:r w:rsidRPr="0091700A">
        <w:rPr>
          <w:rFonts w:eastAsia="Times New Roman"/>
          <w:sz w:val="24"/>
          <w:szCs w:val="24"/>
        </w:rPr>
        <w:t>First, because the scale and pace of investment in renewable energy and the intensity of policy intervention in highly polluting activities have reached unprecedented levels —an unnatural but indispensable transition to safeguard our planet and future economies.</w:t>
      </w:r>
      <w:r w:rsidRPr="0091700A">
        <w:rPr>
          <w:rFonts w:eastAsia="Quattrocento Sans"/>
          <w:sz w:val="24"/>
          <w:szCs w:val="24"/>
        </w:rPr>
        <w:t xml:space="preserve"> </w:t>
      </w:r>
      <w:r w:rsidRPr="0091700A">
        <w:rPr>
          <w:rFonts w:eastAsia="Times New Roman"/>
          <w:sz w:val="24"/>
          <w:szCs w:val="24"/>
        </w:rPr>
        <w:t xml:space="preserve">Secondly, the planet is under severe physical constraints as pollution and climate impacts have passed critical thresholds. This urgency has driven landmark international commitments to accelerate </w:t>
      </w:r>
      <w:proofErr w:type="spellStart"/>
      <w:r w:rsidRPr="0091700A">
        <w:rPr>
          <w:rFonts w:eastAsia="Times New Roman"/>
          <w:sz w:val="24"/>
          <w:szCs w:val="24"/>
        </w:rPr>
        <w:t>decarbonisation</w:t>
      </w:r>
      <w:proofErr w:type="spellEnd"/>
      <w:r w:rsidRPr="0091700A">
        <w:rPr>
          <w:rFonts w:eastAsia="Times New Roman"/>
          <w:sz w:val="24"/>
          <w:szCs w:val="24"/>
        </w:rPr>
        <w:t xml:space="preserve">. These collective efforts are positioning certain industries and technologies at the forefront of a global energy transition. </w:t>
      </w:r>
    </w:p>
    <w:p w14:paraId="2094F2CD" w14:textId="77777777" w:rsidR="00AF7732" w:rsidRPr="0091700A" w:rsidRDefault="00AF7732" w:rsidP="0091700A">
      <w:pPr>
        <w:spacing w:before="280" w:after="280" w:line="240" w:lineRule="auto"/>
        <w:jc w:val="both"/>
        <w:rPr>
          <w:rFonts w:eastAsia="Times New Roman"/>
          <w:sz w:val="24"/>
          <w:szCs w:val="24"/>
        </w:rPr>
      </w:pPr>
      <w:r w:rsidRPr="0091700A">
        <w:rPr>
          <w:rFonts w:eastAsia="Times New Roman"/>
          <w:sz w:val="24"/>
          <w:szCs w:val="24"/>
        </w:rPr>
        <w:lastRenderedPageBreak/>
        <w:t xml:space="preserve">If the world intends to accelerate mitigation and adaptation, it must confront a central fact: in many regions fossil fuels still provide basic livelihoods. Despite their environmental damage, links to corruption, </w:t>
      </w:r>
      <w:proofErr w:type="spellStart"/>
      <w:r w:rsidRPr="0091700A">
        <w:rPr>
          <w:rFonts w:eastAsia="Times New Roman"/>
          <w:sz w:val="24"/>
          <w:szCs w:val="24"/>
        </w:rPr>
        <w:t>labour</w:t>
      </w:r>
      <w:proofErr w:type="spellEnd"/>
      <w:r w:rsidRPr="0091700A">
        <w:rPr>
          <w:rFonts w:eastAsia="Times New Roman"/>
          <w:sz w:val="24"/>
          <w:szCs w:val="24"/>
        </w:rPr>
        <w:t xml:space="preserve">-rights violations, and public-health harms, fossil industries remain a primary source of income. Any credible plan </w:t>
      </w:r>
      <w:proofErr w:type="gramStart"/>
      <w:r w:rsidRPr="0091700A">
        <w:rPr>
          <w:rFonts w:eastAsia="Times New Roman"/>
          <w:sz w:val="24"/>
          <w:szCs w:val="24"/>
        </w:rPr>
        <w:t>has to</w:t>
      </w:r>
      <w:proofErr w:type="gramEnd"/>
      <w:r w:rsidRPr="0091700A">
        <w:rPr>
          <w:rFonts w:eastAsia="Times New Roman"/>
          <w:sz w:val="24"/>
          <w:szCs w:val="24"/>
        </w:rPr>
        <w:t xml:space="preserve"> finance the social side of the transition where these dependencies are strongest.</w:t>
      </w:r>
    </w:p>
    <w:p w14:paraId="0D33775F" w14:textId="77777777" w:rsidR="00AF7732" w:rsidRPr="0091700A" w:rsidRDefault="00AF7732" w:rsidP="0091700A">
      <w:pPr>
        <w:spacing w:before="280" w:after="280" w:line="240" w:lineRule="auto"/>
        <w:jc w:val="both"/>
        <w:rPr>
          <w:rFonts w:eastAsia="Times New Roman"/>
          <w:b/>
          <w:bCs/>
          <w:sz w:val="24"/>
          <w:szCs w:val="24"/>
        </w:rPr>
      </w:pPr>
      <w:r w:rsidRPr="0091700A">
        <w:rPr>
          <w:rFonts w:eastAsia="Times New Roman"/>
          <w:b/>
          <w:bCs/>
          <w:sz w:val="24"/>
          <w:szCs w:val="24"/>
        </w:rPr>
        <w:t>What can be done?</w:t>
      </w:r>
    </w:p>
    <w:p w14:paraId="0A772346" w14:textId="77777777" w:rsidR="00AF7732" w:rsidRPr="0091700A" w:rsidRDefault="00AF7732" w:rsidP="0091700A">
      <w:pPr>
        <w:spacing w:before="280" w:after="280" w:line="240" w:lineRule="auto"/>
        <w:jc w:val="both"/>
        <w:rPr>
          <w:rFonts w:eastAsia="Times New Roman"/>
          <w:sz w:val="24"/>
          <w:szCs w:val="24"/>
        </w:rPr>
      </w:pPr>
      <w:r w:rsidRPr="0091700A">
        <w:rPr>
          <w:rFonts w:eastAsia="Times New Roman"/>
          <w:sz w:val="24"/>
          <w:szCs w:val="24"/>
        </w:rPr>
        <w:t xml:space="preserve">The negative effects of climate change are now irreversible and expected to worsen. Moreover, current financing levels and political commitments to address this urgent crisis are disappointing. I firmly believe that acknowledging the economic disparities and pressing needs of communities and workers would foster faster and more constructive negotiations between stakeholders. This is especially important as political movements that downplay or deny climate change often </w:t>
      </w:r>
      <w:proofErr w:type="spellStart"/>
      <w:r w:rsidRPr="0091700A">
        <w:rPr>
          <w:rFonts w:eastAsia="Times New Roman"/>
          <w:sz w:val="24"/>
          <w:szCs w:val="24"/>
        </w:rPr>
        <w:t>capitalise</w:t>
      </w:r>
      <w:proofErr w:type="spellEnd"/>
      <w:r w:rsidRPr="0091700A">
        <w:rPr>
          <w:rFonts w:eastAsia="Times New Roman"/>
          <w:sz w:val="24"/>
          <w:szCs w:val="24"/>
        </w:rPr>
        <w:t xml:space="preserve"> on concerns about inequality, job security, and social burdens within these very communities. </w:t>
      </w:r>
    </w:p>
    <w:p w14:paraId="1790EAE8" w14:textId="77777777" w:rsidR="00AF7732" w:rsidRPr="0091700A" w:rsidRDefault="00AF7732" w:rsidP="0091700A">
      <w:pPr>
        <w:spacing w:before="280" w:after="280" w:line="240" w:lineRule="auto"/>
        <w:jc w:val="both"/>
        <w:rPr>
          <w:rFonts w:eastAsia="Times New Roman"/>
          <w:sz w:val="24"/>
          <w:szCs w:val="24"/>
        </w:rPr>
      </w:pPr>
      <w:r w:rsidRPr="0091700A">
        <w:rPr>
          <w:rFonts w:eastAsia="Times New Roman"/>
          <w:sz w:val="24"/>
          <w:szCs w:val="24"/>
        </w:rPr>
        <w:t>If we are serious about advancing transitions that have historically unfolded over half a century or more, then it is imperative to bring every possible effort, resource, and stakeholder to the table - leaving no option unexplored and no voice unheard.</w:t>
      </w:r>
    </w:p>
    <w:p w14:paraId="2D907BC8" w14:textId="77777777" w:rsidR="00AF7732" w:rsidRPr="0091700A" w:rsidRDefault="00AF7732" w:rsidP="0091700A">
      <w:pPr>
        <w:spacing w:before="280" w:after="280" w:line="240" w:lineRule="auto"/>
        <w:jc w:val="both"/>
        <w:rPr>
          <w:rFonts w:eastAsia="Times New Roman"/>
          <w:sz w:val="24"/>
          <w:szCs w:val="24"/>
        </w:rPr>
      </w:pPr>
      <w:r w:rsidRPr="0091700A">
        <w:rPr>
          <w:rFonts w:eastAsia="Times New Roman"/>
          <w:sz w:val="24"/>
          <w:szCs w:val="24"/>
        </w:rPr>
        <w:t>To address the just transition financing gap and make climate transitions socially sustainable, focus on two key strategies:</w:t>
      </w:r>
    </w:p>
    <w:p w14:paraId="1AE975A9" w14:textId="77777777" w:rsidR="00AF7732" w:rsidRPr="0091700A" w:rsidRDefault="00AF7732" w:rsidP="0091700A">
      <w:pPr>
        <w:numPr>
          <w:ilvl w:val="0"/>
          <w:numId w:val="1"/>
        </w:numPr>
        <w:spacing w:before="280" w:after="200" w:line="240" w:lineRule="auto"/>
        <w:jc w:val="both"/>
        <w:rPr>
          <w:rFonts w:eastAsia="Times New Roman"/>
          <w:sz w:val="24"/>
          <w:szCs w:val="24"/>
        </w:rPr>
      </w:pPr>
      <w:r w:rsidRPr="0091700A">
        <w:rPr>
          <w:rFonts w:eastAsia="Times New Roman"/>
          <w:sz w:val="24"/>
          <w:szCs w:val="24"/>
        </w:rPr>
        <w:t>First, </w:t>
      </w:r>
      <w:sdt>
        <w:sdtPr>
          <w:rPr>
            <w:sz w:val="24"/>
            <w:szCs w:val="24"/>
          </w:rPr>
          <w:tag w:val="goog_rdk_68"/>
          <w:id w:val="-1564580799"/>
        </w:sdtPr>
        <w:sdtContent/>
      </w:sdt>
      <w:r w:rsidRPr="0091700A">
        <w:rPr>
          <w:rFonts w:eastAsia="Times New Roman"/>
          <w:sz w:val="24"/>
          <w:szCs w:val="24"/>
        </w:rPr>
        <w:t xml:space="preserve">establish inclusive and well-funded policy mechanisms that provide targeted support for workers and communities affected by sectoral shifts. This includes dedicated just transition funds, expanded social protections, reskilling and employment programs, and </w:t>
      </w:r>
      <w:sdt>
        <w:sdtPr>
          <w:rPr>
            <w:sz w:val="24"/>
            <w:szCs w:val="24"/>
          </w:rPr>
          <w:tag w:val="goog_rdk_69"/>
          <w:id w:val="-297941434"/>
        </w:sdtPr>
        <w:sdtContent/>
      </w:sdt>
      <w:r w:rsidRPr="0091700A">
        <w:rPr>
          <w:rFonts w:eastAsia="Times New Roman"/>
          <w:sz w:val="24"/>
          <w:szCs w:val="24"/>
        </w:rPr>
        <w:t xml:space="preserve">place-based economic diversification. </w:t>
      </w:r>
      <w:sdt>
        <w:sdtPr>
          <w:rPr>
            <w:sz w:val="24"/>
            <w:szCs w:val="24"/>
          </w:rPr>
          <w:tag w:val="goog_rdk_70"/>
          <w:id w:val="179401802"/>
        </w:sdtPr>
        <w:sdtContent/>
      </w:sdt>
      <w:r w:rsidRPr="0091700A">
        <w:rPr>
          <w:rFonts w:eastAsia="Times New Roman"/>
          <w:sz w:val="24"/>
          <w:szCs w:val="24"/>
        </w:rPr>
        <w:t>Engaging stakeholders in co-designing these policies ensures legitimacy, social fairness, and political feasibility.</w:t>
      </w:r>
    </w:p>
    <w:p w14:paraId="09538B3F" w14:textId="77777777" w:rsidR="00AF7732" w:rsidRPr="0091700A" w:rsidRDefault="00AF7732" w:rsidP="0091700A">
      <w:pPr>
        <w:numPr>
          <w:ilvl w:val="0"/>
          <w:numId w:val="1"/>
        </w:numPr>
        <w:spacing w:before="280" w:after="200" w:line="240" w:lineRule="auto"/>
        <w:jc w:val="both"/>
        <w:rPr>
          <w:rFonts w:eastAsia="Times New Roman"/>
          <w:sz w:val="24"/>
          <w:szCs w:val="24"/>
        </w:rPr>
      </w:pPr>
      <w:r w:rsidRPr="0091700A">
        <w:rPr>
          <w:rFonts w:eastAsia="Times New Roman"/>
          <w:sz w:val="24"/>
          <w:szCs w:val="24"/>
        </w:rPr>
        <w:t xml:space="preserve">Second, developing robust social and economic information systems specifically tailored to assess and support the varied needs of the just transition. This strategy demands collecting </w:t>
      </w:r>
      <w:proofErr w:type="spellStart"/>
      <w:r w:rsidRPr="0091700A">
        <w:rPr>
          <w:rFonts w:eastAsia="Times New Roman"/>
          <w:sz w:val="24"/>
          <w:szCs w:val="24"/>
        </w:rPr>
        <w:t>harmonised</w:t>
      </w:r>
      <w:proofErr w:type="spellEnd"/>
      <w:r w:rsidRPr="0091700A">
        <w:rPr>
          <w:rFonts w:eastAsia="Times New Roman"/>
          <w:sz w:val="24"/>
          <w:szCs w:val="24"/>
        </w:rPr>
        <w:t xml:space="preserve">, detailed data on case studies, labor market dynamics, social protection coverage, community economic diversification, public services, wages, financing flows, and broader social outcomes. Elevating the collection, </w:t>
      </w:r>
      <w:proofErr w:type="spellStart"/>
      <w:r w:rsidRPr="0091700A">
        <w:rPr>
          <w:rFonts w:eastAsia="Times New Roman"/>
          <w:sz w:val="24"/>
          <w:szCs w:val="24"/>
        </w:rPr>
        <w:t>standardisation</w:t>
      </w:r>
      <w:proofErr w:type="spellEnd"/>
      <w:r w:rsidRPr="0091700A">
        <w:rPr>
          <w:rFonts w:eastAsia="Times New Roman"/>
          <w:sz w:val="24"/>
          <w:szCs w:val="24"/>
        </w:rPr>
        <w:t xml:space="preserve">, and integration of this data within climate finance frameworks is essential to diagnose </w:t>
      </w:r>
      <w:proofErr w:type="spellStart"/>
      <w:r w:rsidRPr="0091700A">
        <w:rPr>
          <w:rFonts w:eastAsia="Times New Roman"/>
          <w:sz w:val="24"/>
          <w:szCs w:val="24"/>
        </w:rPr>
        <w:t>localised</w:t>
      </w:r>
      <w:proofErr w:type="spellEnd"/>
      <w:r w:rsidRPr="0091700A">
        <w:rPr>
          <w:rFonts w:eastAsia="Times New Roman"/>
          <w:sz w:val="24"/>
          <w:szCs w:val="24"/>
        </w:rPr>
        <w:t xml:space="preserve"> needs accurately, allocate resources equitably, monitor progress transparently, and ultimately ensure the social legitimacy and effectiveness of transition policies. </w:t>
      </w:r>
    </w:p>
    <w:p w14:paraId="589E006E" w14:textId="77777777" w:rsidR="00304248" w:rsidRDefault="00304248"/>
    <w:sectPr w:rsidR="00304248" w:rsidSect="00AF773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F59AB" w14:textId="77777777" w:rsidR="0097119E" w:rsidRDefault="0097119E" w:rsidP="00AF7732">
      <w:pPr>
        <w:spacing w:after="0" w:line="240" w:lineRule="auto"/>
      </w:pPr>
      <w:r>
        <w:separator/>
      </w:r>
    </w:p>
  </w:endnote>
  <w:endnote w:type="continuationSeparator" w:id="0">
    <w:p w14:paraId="779D7A94" w14:textId="77777777" w:rsidR="0097119E" w:rsidRDefault="0097119E" w:rsidP="00AF7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Quattrocento Sans">
    <w:panose1 w:val="020B0502050000020003"/>
    <w:charset w:val="00"/>
    <w:family w:val="swiss"/>
    <w:pitch w:val="variable"/>
    <w:sig w:usb0="800000BF" w:usb1="4000005B"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995A8" w14:textId="77777777" w:rsidR="0097119E" w:rsidRDefault="0097119E" w:rsidP="00AF7732">
      <w:pPr>
        <w:spacing w:after="0" w:line="240" w:lineRule="auto"/>
      </w:pPr>
      <w:r>
        <w:separator/>
      </w:r>
    </w:p>
  </w:footnote>
  <w:footnote w:type="continuationSeparator" w:id="0">
    <w:p w14:paraId="2FDBD154" w14:textId="77777777" w:rsidR="0097119E" w:rsidRDefault="0097119E" w:rsidP="00AF7732">
      <w:pPr>
        <w:spacing w:after="0" w:line="240" w:lineRule="auto"/>
      </w:pPr>
      <w:r>
        <w:continuationSeparator/>
      </w:r>
    </w:p>
  </w:footnote>
  <w:footnote w:id="1">
    <w:p w14:paraId="6511A1DD" w14:textId="77777777" w:rsidR="00AF7732" w:rsidRDefault="00AF7732" w:rsidP="00AF7732">
      <w:pPr>
        <w:spacing w:after="0" w:line="240" w:lineRule="auto"/>
        <w:jc w:val="left"/>
        <w:rPr>
          <w:sz w:val="20"/>
          <w:szCs w:val="20"/>
        </w:rPr>
      </w:pPr>
      <w:r>
        <w:rPr>
          <w:rStyle w:val="FootnoteReference"/>
        </w:rPr>
        <w:footnoteRef/>
      </w:r>
      <w:r>
        <w:rPr>
          <w:sz w:val="20"/>
          <w:szCs w:val="20"/>
        </w:rPr>
        <w:t xml:space="preserve"> Grantham Research Institute on Climate Change and the Environment. (2024). </w:t>
      </w:r>
      <w:r>
        <w:rPr>
          <w:i/>
          <w:iCs/>
          <w:sz w:val="20"/>
          <w:szCs w:val="20"/>
        </w:rPr>
        <w:t>What is the just transition and what does it mean for climate action?</w:t>
      </w:r>
      <w:r>
        <w:rPr>
          <w:sz w:val="20"/>
          <w:szCs w:val="20"/>
        </w:rPr>
        <w:t xml:space="preserve"> London School of Economics and Political Science. Retrieved from: </w:t>
      </w:r>
      <w:hyperlink r:id="rId1">
        <w:r>
          <w:rPr>
            <w:color w:val="1155CC"/>
            <w:sz w:val="20"/>
            <w:szCs w:val="20"/>
            <w:u w:val="single"/>
          </w:rPr>
          <w:t>https://www.lse.ac.uk/granthaminstitute/explainers/what-is-the-just-transition-and-what-does-it-mean-for-climate-action/</w:t>
        </w:r>
      </w:hyperlink>
    </w:p>
  </w:footnote>
  <w:footnote w:id="2">
    <w:p w14:paraId="707B7B0A" w14:textId="77777777" w:rsidR="00AF7732" w:rsidRDefault="00AF7732" w:rsidP="00AF7732">
      <w:pPr>
        <w:spacing w:after="0" w:line="240" w:lineRule="auto"/>
        <w:jc w:val="left"/>
        <w:rPr>
          <w:sz w:val="20"/>
          <w:szCs w:val="20"/>
        </w:rPr>
      </w:pPr>
      <w:r>
        <w:rPr>
          <w:rStyle w:val="FootnoteReference"/>
        </w:rPr>
        <w:footnoteRef/>
      </w:r>
      <w:r>
        <w:rPr>
          <w:sz w:val="20"/>
          <w:szCs w:val="20"/>
        </w:rPr>
        <w:t xml:space="preserve"> “Taking into account the imperatives of a just transition of the workforce and the creation of decent work and quality jobs in accordance with nationally defined development priorities”. Paris Agreement (2015).</w:t>
      </w:r>
    </w:p>
  </w:footnote>
  <w:footnote w:id="3">
    <w:p w14:paraId="4C2C3414" w14:textId="77777777" w:rsidR="00AF7732" w:rsidRDefault="00AF7732" w:rsidP="00AF7732">
      <w:pPr>
        <w:pBdr>
          <w:top w:val="nil"/>
          <w:left w:val="nil"/>
          <w:bottom w:val="nil"/>
          <w:right w:val="nil"/>
          <w:between w:val="nil"/>
        </w:pBdr>
        <w:spacing w:after="0" w:line="240" w:lineRule="auto"/>
        <w:jc w:val="left"/>
        <w:rPr>
          <w:color w:val="000000"/>
          <w:sz w:val="20"/>
          <w:szCs w:val="20"/>
        </w:rPr>
      </w:pPr>
      <w:r>
        <w:rPr>
          <w:rStyle w:val="FootnoteReference"/>
        </w:rPr>
        <w:footnoteRef/>
      </w:r>
      <w:r>
        <w:rPr>
          <w:color w:val="000000"/>
          <w:sz w:val="20"/>
          <w:szCs w:val="20"/>
        </w:rPr>
        <w:t xml:space="preserve"> International </w:t>
      </w:r>
      <w:proofErr w:type="spellStart"/>
      <w:r>
        <w:rPr>
          <w:color w:val="000000"/>
          <w:sz w:val="20"/>
          <w:szCs w:val="20"/>
        </w:rPr>
        <w:t>Labour</w:t>
      </w:r>
      <w:proofErr w:type="spellEnd"/>
      <w:r>
        <w:rPr>
          <w:color w:val="000000"/>
          <w:sz w:val="20"/>
          <w:szCs w:val="20"/>
        </w:rPr>
        <w:t xml:space="preserve"> Organization. (2024). </w:t>
      </w:r>
      <w:r>
        <w:rPr>
          <w:i/>
          <w:iCs/>
          <w:color w:val="000000"/>
          <w:sz w:val="20"/>
          <w:szCs w:val="20"/>
        </w:rPr>
        <w:t>World Social Protection Report 2024–26: Universal social protection for climate action and just transition</w:t>
      </w:r>
      <w:r>
        <w:rPr>
          <w:color w:val="000000"/>
          <w:sz w:val="20"/>
          <w:szCs w:val="20"/>
        </w:rPr>
        <w:t>. Geneva: ILO.</w:t>
      </w:r>
    </w:p>
  </w:footnote>
  <w:footnote w:id="4">
    <w:p w14:paraId="56D6D06F" w14:textId="77777777" w:rsidR="00AF7732" w:rsidRDefault="00AF7732" w:rsidP="00AF7732">
      <w:pPr>
        <w:pBdr>
          <w:top w:val="nil"/>
          <w:left w:val="nil"/>
          <w:bottom w:val="nil"/>
          <w:right w:val="nil"/>
          <w:between w:val="nil"/>
        </w:pBdr>
        <w:spacing w:after="0" w:line="240" w:lineRule="auto"/>
        <w:jc w:val="both"/>
        <w:rPr>
          <w:color w:val="000000"/>
          <w:sz w:val="20"/>
          <w:szCs w:val="20"/>
        </w:rPr>
      </w:pPr>
      <w:r>
        <w:rPr>
          <w:rStyle w:val="FootnoteReference"/>
        </w:rPr>
        <w:footnoteRef/>
      </w:r>
      <w:r>
        <w:rPr>
          <w:color w:val="000000"/>
          <w:sz w:val="20"/>
          <w:szCs w:val="20"/>
        </w:rPr>
        <w:t xml:space="preserve"> Climate Policy Initiative. (2023). </w:t>
      </w:r>
      <w:r>
        <w:rPr>
          <w:i/>
          <w:iCs/>
          <w:color w:val="000000"/>
          <w:sz w:val="20"/>
          <w:szCs w:val="20"/>
        </w:rPr>
        <w:t>Global Landscape of Climate Finance 2023</w:t>
      </w:r>
      <w:r>
        <w:rPr>
          <w:color w:val="000000"/>
          <w:sz w:val="20"/>
          <w:szCs w:val="20"/>
        </w:rPr>
        <w:t>. San Francisco, CA.</w:t>
      </w:r>
    </w:p>
  </w:footnote>
  <w:footnote w:id="5">
    <w:p w14:paraId="0A07251E" w14:textId="77777777" w:rsidR="00AF7732" w:rsidRDefault="00AF7732" w:rsidP="00AF7732">
      <w:pPr>
        <w:pBdr>
          <w:top w:val="nil"/>
          <w:left w:val="nil"/>
          <w:bottom w:val="nil"/>
          <w:right w:val="nil"/>
          <w:between w:val="nil"/>
        </w:pBdr>
        <w:spacing w:after="0" w:line="240" w:lineRule="auto"/>
        <w:jc w:val="both"/>
        <w:rPr>
          <w:color w:val="000000"/>
          <w:sz w:val="20"/>
          <w:szCs w:val="20"/>
        </w:rPr>
      </w:pPr>
      <w:r>
        <w:rPr>
          <w:rStyle w:val="FootnoteReference"/>
        </w:rPr>
        <w:footnoteRef/>
      </w:r>
      <w:r>
        <w:rPr>
          <w:color w:val="000000"/>
          <w:sz w:val="20"/>
          <w:szCs w:val="20"/>
        </w:rPr>
        <w:t xml:space="preserve"> </w:t>
      </w:r>
      <w:proofErr w:type="spellStart"/>
      <w:r>
        <w:rPr>
          <w:color w:val="000000"/>
          <w:sz w:val="20"/>
          <w:szCs w:val="20"/>
        </w:rPr>
        <w:t>BloombergNEF</w:t>
      </w:r>
      <w:proofErr w:type="spellEnd"/>
      <w:r>
        <w:rPr>
          <w:color w:val="000000"/>
          <w:sz w:val="20"/>
          <w:szCs w:val="20"/>
        </w:rPr>
        <w:t xml:space="preserve">. (2025). </w:t>
      </w:r>
      <w:r>
        <w:rPr>
          <w:i/>
          <w:iCs/>
          <w:color w:val="000000"/>
          <w:sz w:val="20"/>
          <w:szCs w:val="20"/>
        </w:rPr>
        <w:t>Energy Transition Investment Trends 2025</w:t>
      </w:r>
      <w:r>
        <w:rPr>
          <w:color w:val="000000"/>
          <w:sz w:val="20"/>
          <w:szCs w:val="20"/>
        </w:rPr>
        <w:t>. New York, NY: Bloomberg Finance.</w:t>
      </w:r>
    </w:p>
  </w:footnote>
  <w:footnote w:id="6">
    <w:p w14:paraId="4F27ADDD" w14:textId="77777777" w:rsidR="00AF7732" w:rsidRDefault="00AF7732" w:rsidP="00AF7732">
      <w:pPr>
        <w:pBdr>
          <w:top w:val="nil"/>
          <w:left w:val="nil"/>
          <w:bottom w:val="nil"/>
          <w:right w:val="nil"/>
          <w:between w:val="nil"/>
        </w:pBdr>
        <w:spacing w:after="0" w:line="240" w:lineRule="auto"/>
        <w:jc w:val="both"/>
        <w:rPr>
          <w:color w:val="000000"/>
          <w:sz w:val="20"/>
          <w:szCs w:val="20"/>
        </w:rPr>
      </w:pPr>
      <w:r>
        <w:rPr>
          <w:rStyle w:val="FootnoteReference"/>
        </w:rPr>
        <w:footnoteRef/>
      </w:r>
      <w:r>
        <w:rPr>
          <w:color w:val="000000"/>
          <w:sz w:val="20"/>
          <w:szCs w:val="20"/>
        </w:rPr>
        <w:t xml:space="preserve"> United Nations Environment </w:t>
      </w:r>
      <w:proofErr w:type="spellStart"/>
      <w:r>
        <w:rPr>
          <w:color w:val="000000"/>
          <w:sz w:val="20"/>
          <w:szCs w:val="20"/>
        </w:rPr>
        <w:t>Programme</w:t>
      </w:r>
      <w:proofErr w:type="spellEnd"/>
      <w:r>
        <w:rPr>
          <w:color w:val="000000"/>
          <w:sz w:val="20"/>
          <w:szCs w:val="20"/>
        </w:rPr>
        <w:t xml:space="preserve">. (2023). </w:t>
      </w:r>
      <w:r>
        <w:rPr>
          <w:i/>
          <w:iCs/>
          <w:color w:val="000000"/>
          <w:sz w:val="20"/>
          <w:szCs w:val="20"/>
        </w:rPr>
        <w:t>Adaptation Gap Report 2023</w:t>
      </w:r>
      <w:r>
        <w:rPr>
          <w:color w:val="000000"/>
          <w:sz w:val="20"/>
          <w:szCs w:val="20"/>
        </w:rPr>
        <w:t>. Nairobi, Kenya: UNEP.</w:t>
      </w:r>
    </w:p>
  </w:footnote>
  <w:footnote w:id="7">
    <w:p w14:paraId="4045D971" w14:textId="77777777" w:rsidR="00AF7732" w:rsidRDefault="00AF7732" w:rsidP="00AF7732">
      <w:pPr>
        <w:pBdr>
          <w:top w:val="nil"/>
          <w:left w:val="nil"/>
          <w:bottom w:val="nil"/>
          <w:right w:val="nil"/>
          <w:between w:val="nil"/>
        </w:pBdr>
        <w:spacing w:after="0" w:line="240" w:lineRule="auto"/>
        <w:jc w:val="both"/>
        <w:rPr>
          <w:color w:val="000000"/>
          <w:sz w:val="20"/>
          <w:szCs w:val="20"/>
        </w:rPr>
      </w:pPr>
      <w:r>
        <w:rPr>
          <w:rStyle w:val="FootnoteReference"/>
        </w:rPr>
        <w:footnoteRef/>
      </w:r>
      <w:r>
        <w:rPr>
          <w:color w:val="000000"/>
          <w:sz w:val="20"/>
          <w:szCs w:val="20"/>
        </w:rPr>
        <w:t xml:space="preserve">European Commission. (2021–2027). </w:t>
      </w:r>
      <w:r>
        <w:rPr>
          <w:i/>
          <w:iCs/>
          <w:color w:val="000000"/>
          <w:sz w:val="20"/>
          <w:szCs w:val="20"/>
        </w:rPr>
        <w:t>Just Transition Mechanism and Just Transition Fund</w:t>
      </w:r>
      <w:r>
        <w:rPr>
          <w:color w:val="000000"/>
          <w:sz w:val="20"/>
          <w:szCs w:val="20"/>
        </w:rPr>
        <w:t>. Brussels, Belgium: European Commission.</w:t>
      </w:r>
    </w:p>
  </w:footnote>
  <w:footnote w:id="8">
    <w:p w14:paraId="52B39BF1" w14:textId="77777777" w:rsidR="00AF7732" w:rsidRDefault="00AF7732" w:rsidP="00AF7732">
      <w:pPr>
        <w:spacing w:after="0" w:line="240" w:lineRule="auto"/>
        <w:jc w:val="left"/>
        <w:rPr>
          <w:sz w:val="20"/>
          <w:szCs w:val="20"/>
        </w:rPr>
      </w:pPr>
      <w:r>
        <w:rPr>
          <w:rStyle w:val="FootnoteReference"/>
        </w:rPr>
        <w:footnoteRef/>
      </w:r>
      <w:r>
        <w:rPr>
          <w:sz w:val="20"/>
          <w:szCs w:val="20"/>
        </w:rPr>
        <w:t xml:space="preserve"> Valencia Plaza. (2022, March 22). </w:t>
      </w:r>
      <w:r>
        <w:rPr>
          <w:i/>
          <w:iCs/>
          <w:sz w:val="20"/>
          <w:szCs w:val="20"/>
        </w:rPr>
        <w:t xml:space="preserve">El </w:t>
      </w:r>
      <w:proofErr w:type="spellStart"/>
      <w:r>
        <w:rPr>
          <w:i/>
          <w:iCs/>
          <w:sz w:val="20"/>
          <w:szCs w:val="20"/>
        </w:rPr>
        <w:t>Gobierno</w:t>
      </w:r>
      <w:proofErr w:type="spellEnd"/>
      <w:r>
        <w:rPr>
          <w:i/>
          <w:iCs/>
          <w:sz w:val="20"/>
          <w:szCs w:val="20"/>
        </w:rPr>
        <w:t xml:space="preserve"> </w:t>
      </w:r>
      <w:proofErr w:type="spellStart"/>
      <w:r>
        <w:rPr>
          <w:i/>
          <w:iCs/>
          <w:sz w:val="20"/>
          <w:szCs w:val="20"/>
        </w:rPr>
        <w:t>invertirá</w:t>
      </w:r>
      <w:proofErr w:type="spellEnd"/>
      <w:r>
        <w:rPr>
          <w:i/>
          <w:iCs/>
          <w:sz w:val="20"/>
          <w:szCs w:val="20"/>
        </w:rPr>
        <w:t xml:space="preserve"> </w:t>
      </w:r>
      <w:proofErr w:type="spellStart"/>
      <w:r>
        <w:rPr>
          <w:i/>
          <w:iCs/>
          <w:sz w:val="20"/>
          <w:szCs w:val="20"/>
        </w:rPr>
        <w:t>casi</w:t>
      </w:r>
      <w:proofErr w:type="spellEnd"/>
      <w:r>
        <w:rPr>
          <w:i/>
          <w:iCs/>
          <w:sz w:val="20"/>
          <w:szCs w:val="20"/>
        </w:rPr>
        <w:t xml:space="preserve"> 7.000 </w:t>
      </w:r>
      <w:proofErr w:type="spellStart"/>
      <w:r>
        <w:rPr>
          <w:i/>
          <w:iCs/>
          <w:sz w:val="20"/>
          <w:szCs w:val="20"/>
        </w:rPr>
        <w:t>millones</w:t>
      </w:r>
      <w:proofErr w:type="spellEnd"/>
      <w:r>
        <w:rPr>
          <w:i/>
          <w:iCs/>
          <w:sz w:val="20"/>
          <w:szCs w:val="20"/>
        </w:rPr>
        <w:t xml:space="preserve"> de euros </w:t>
      </w:r>
      <w:proofErr w:type="spellStart"/>
      <w:r>
        <w:rPr>
          <w:i/>
          <w:iCs/>
          <w:sz w:val="20"/>
          <w:szCs w:val="20"/>
        </w:rPr>
        <w:t>en</w:t>
      </w:r>
      <w:proofErr w:type="spellEnd"/>
      <w:r>
        <w:rPr>
          <w:i/>
          <w:iCs/>
          <w:sz w:val="20"/>
          <w:szCs w:val="20"/>
        </w:rPr>
        <w:t xml:space="preserve"> redes </w:t>
      </w:r>
      <w:proofErr w:type="spellStart"/>
      <w:r>
        <w:rPr>
          <w:i/>
          <w:iCs/>
          <w:sz w:val="20"/>
          <w:szCs w:val="20"/>
        </w:rPr>
        <w:t>eléctricas</w:t>
      </w:r>
      <w:proofErr w:type="spellEnd"/>
      <w:r>
        <w:rPr>
          <w:i/>
          <w:iCs/>
          <w:sz w:val="20"/>
          <w:szCs w:val="20"/>
        </w:rPr>
        <w:t xml:space="preserve"> hasta 2026</w:t>
      </w:r>
      <w:r>
        <w:rPr>
          <w:sz w:val="20"/>
          <w:szCs w:val="20"/>
        </w:rPr>
        <w:t>.</w:t>
      </w:r>
      <w:hyperlink r:id="rId2">
        <w:r>
          <w:rPr>
            <w:sz w:val="20"/>
            <w:szCs w:val="20"/>
          </w:rPr>
          <w:t xml:space="preserve"> </w:t>
        </w:r>
      </w:hyperlink>
      <w:hyperlink r:id="rId3">
        <w:r>
          <w:rPr>
            <w:color w:val="1155CC"/>
            <w:sz w:val="20"/>
            <w:szCs w:val="20"/>
            <w:u w:val="single"/>
          </w:rPr>
          <w:t>https://valenciaplaza.com/valenciaplaza/el-gobierno-invertira-casi-7000-millones-de-euros-en-redes-electricas-hasta-2026</w:t>
        </w:r>
      </w:hyperlink>
    </w:p>
  </w:footnote>
  <w:footnote w:id="9">
    <w:p w14:paraId="4F7248DD" w14:textId="77777777" w:rsidR="00AF7732" w:rsidRDefault="00AF7732" w:rsidP="00AF7732">
      <w:pPr>
        <w:spacing w:after="0" w:line="240" w:lineRule="auto"/>
        <w:jc w:val="left"/>
        <w:rPr>
          <w:sz w:val="20"/>
          <w:szCs w:val="20"/>
        </w:rPr>
      </w:pPr>
      <w:r>
        <w:rPr>
          <w:rStyle w:val="FootnoteReference"/>
        </w:rPr>
        <w:footnoteRef/>
      </w:r>
      <w:r>
        <w:rPr>
          <w:sz w:val="20"/>
          <w:szCs w:val="20"/>
        </w:rPr>
        <w:t xml:space="preserve"> European Commission. (2022, December 21). </w:t>
      </w:r>
      <w:r>
        <w:rPr>
          <w:i/>
          <w:iCs/>
          <w:sz w:val="20"/>
          <w:szCs w:val="20"/>
        </w:rPr>
        <w:t>EU Cohesion Policy: Almost €869 million for a just climate transition in Spain</w:t>
      </w:r>
      <w:r>
        <w:rPr>
          <w:sz w:val="20"/>
          <w:szCs w:val="20"/>
        </w:rPr>
        <w:t xml:space="preserve"> [Press release]. Retrieved from</w:t>
      </w:r>
      <w:hyperlink r:id="rId4" w:anchor=":~:text=Espa%C3%B1a%20recibir%C3%A1%20casi%20869%20millones%20de%20euros,Programa%20de%20Transici%C3%B3n%20Justa%20y%20de%20su">
        <w:r>
          <w:rPr>
            <w:sz w:val="20"/>
            <w:szCs w:val="20"/>
          </w:rPr>
          <w:t xml:space="preserve"> </w:t>
        </w:r>
      </w:hyperlink>
      <w:hyperlink r:id="rId5" w:anchor=":~:text=Espa%C3%B1a%20recibir%C3%A1%20casi%20869%20millones%20de%20euros,Programa%20de%20Transici%C3%B3n%20Justa%20y%20de%20su">
        <w:r>
          <w:rPr>
            <w:color w:val="1155CC"/>
            <w:sz w:val="20"/>
            <w:szCs w:val="20"/>
            <w:u w:val="single"/>
          </w:rPr>
          <w:t>https://ec.europa.eu/regional_policy/whats-new/newsroom/22-12-2022-eu-cohesion-policy-almost-eur-869-million-for-a-just-climate-transition-in-spain_es#:~:text=Espa%C3%B1a%20recibir%C3%A1%20casi%20869%20millones%20de%20euros,Programa%20de%20Transici%C3%B3n%20Justa%20y%20de%20su</w:t>
        </w:r>
      </w:hyperlink>
    </w:p>
  </w:footnote>
  <w:footnote w:id="10">
    <w:p w14:paraId="6E6217BB" w14:textId="77777777" w:rsidR="00AF7732" w:rsidRDefault="00AF7732" w:rsidP="00AF7732">
      <w:pPr>
        <w:spacing w:after="0" w:line="240" w:lineRule="auto"/>
        <w:jc w:val="left"/>
        <w:rPr>
          <w:sz w:val="20"/>
          <w:szCs w:val="20"/>
        </w:rPr>
      </w:pPr>
      <w:r>
        <w:rPr>
          <w:rStyle w:val="FootnoteReference"/>
        </w:rPr>
        <w:footnoteRef/>
      </w:r>
      <w:r>
        <w:rPr>
          <w:sz w:val="20"/>
          <w:szCs w:val="20"/>
        </w:rPr>
        <w:t xml:space="preserve"> The Presidency of the Republic of South Africa. (2022). </w:t>
      </w:r>
      <w:r>
        <w:rPr>
          <w:i/>
          <w:iCs/>
          <w:sz w:val="20"/>
          <w:szCs w:val="20"/>
        </w:rPr>
        <w:t>South Africa’s Just Energy Transition Investment Plan (JET IP) 2023–2027</w:t>
      </w:r>
      <w:r>
        <w:rPr>
          <w:sz w:val="20"/>
          <w:szCs w:val="20"/>
        </w:rPr>
        <w:t xml:space="preserve"> (Executive summary and financing tables). Pretoria: The Presidency. Retrieved from https://www.presidency.gov.za/just-energy-transition</w:t>
      </w:r>
    </w:p>
  </w:footnote>
  <w:footnote w:id="11">
    <w:p w14:paraId="44354BC8" w14:textId="77777777" w:rsidR="00AF7732" w:rsidRDefault="00AF7732" w:rsidP="00AF7732">
      <w:pPr>
        <w:spacing w:after="0" w:line="240" w:lineRule="auto"/>
        <w:jc w:val="left"/>
        <w:rPr>
          <w:sz w:val="20"/>
          <w:szCs w:val="20"/>
        </w:rPr>
      </w:pPr>
      <w:r>
        <w:rPr>
          <w:rStyle w:val="FootnoteReference"/>
        </w:rPr>
        <w:footnoteRef/>
      </w:r>
      <w:r>
        <w:rPr>
          <w:sz w:val="20"/>
          <w:szCs w:val="20"/>
        </w:rPr>
        <w:t xml:space="preserve"> Republic of Indonesia; International Partners Group. (2023). </w:t>
      </w:r>
      <w:r>
        <w:rPr>
          <w:i/>
          <w:iCs/>
          <w:sz w:val="20"/>
          <w:szCs w:val="20"/>
        </w:rPr>
        <w:t>Indonesia Just Energy Transition Partnership: Comprehensive Investment and Policy Plan (CIPP)</w:t>
      </w:r>
      <w:r>
        <w:rPr>
          <w:sz w:val="20"/>
          <w:szCs w:val="20"/>
        </w:rPr>
        <w:t>. Jakarta. https://jetp-id.org/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45F71"/>
    <w:multiLevelType w:val="multilevel"/>
    <w:tmpl w:val="9AE4A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1526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732"/>
    <w:rsid w:val="00224886"/>
    <w:rsid w:val="00304248"/>
    <w:rsid w:val="00361267"/>
    <w:rsid w:val="006F41C6"/>
    <w:rsid w:val="007B3348"/>
    <w:rsid w:val="0091700A"/>
    <w:rsid w:val="0097119E"/>
    <w:rsid w:val="00A6201C"/>
    <w:rsid w:val="00AF7732"/>
    <w:rsid w:val="00B54AA5"/>
    <w:rsid w:val="00C12C68"/>
    <w:rsid w:val="00CA41D8"/>
    <w:rsid w:val="00D93B54"/>
    <w:rsid w:val="00F125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38FB380"/>
  <w15:chartTrackingRefBased/>
  <w15:docId w15:val="{B953732C-2E73-894E-B68B-F9548F762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732"/>
    <w:pPr>
      <w:spacing w:after="160" w:line="259" w:lineRule="auto"/>
      <w:jc w:val="center"/>
    </w:pPr>
    <w:rPr>
      <w:rFonts w:ascii="Calibri" w:eastAsia="Calibri" w:hAnsi="Calibri" w:cs="Calibri"/>
      <w:kern w:val="0"/>
      <w:sz w:val="22"/>
      <w:szCs w:val="22"/>
      <w:lang w:val="en" w:eastAsia="en-GB"/>
      <w14:ligatures w14:val="none"/>
    </w:rPr>
  </w:style>
  <w:style w:type="paragraph" w:styleId="Heading1">
    <w:name w:val="heading 1"/>
    <w:basedOn w:val="Normal"/>
    <w:next w:val="Normal"/>
    <w:link w:val="Heading1Char"/>
    <w:uiPriority w:val="9"/>
    <w:qFormat/>
    <w:rsid w:val="00AF7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7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7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7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7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7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732"/>
    <w:rPr>
      <w:rFonts w:eastAsiaTheme="majorEastAsia" w:cstheme="majorBidi"/>
      <w:color w:val="272727" w:themeColor="text1" w:themeTint="D8"/>
    </w:rPr>
  </w:style>
  <w:style w:type="paragraph" w:styleId="Title">
    <w:name w:val="Title"/>
    <w:basedOn w:val="Normal"/>
    <w:next w:val="Normal"/>
    <w:link w:val="TitleChar"/>
    <w:uiPriority w:val="10"/>
    <w:qFormat/>
    <w:rsid w:val="00AF77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732"/>
    <w:pPr>
      <w:spacing w:before="160"/>
    </w:pPr>
    <w:rPr>
      <w:i/>
      <w:iCs/>
      <w:color w:val="404040" w:themeColor="text1" w:themeTint="BF"/>
    </w:rPr>
  </w:style>
  <w:style w:type="character" w:customStyle="1" w:styleId="QuoteChar">
    <w:name w:val="Quote Char"/>
    <w:basedOn w:val="DefaultParagraphFont"/>
    <w:link w:val="Quote"/>
    <w:uiPriority w:val="29"/>
    <w:rsid w:val="00AF7732"/>
    <w:rPr>
      <w:i/>
      <w:iCs/>
      <w:color w:val="404040" w:themeColor="text1" w:themeTint="BF"/>
    </w:rPr>
  </w:style>
  <w:style w:type="paragraph" w:styleId="ListParagraph">
    <w:name w:val="List Paragraph"/>
    <w:basedOn w:val="Normal"/>
    <w:uiPriority w:val="34"/>
    <w:qFormat/>
    <w:rsid w:val="00AF7732"/>
    <w:pPr>
      <w:ind w:left="720"/>
      <w:contextualSpacing/>
    </w:pPr>
  </w:style>
  <w:style w:type="character" w:styleId="IntenseEmphasis">
    <w:name w:val="Intense Emphasis"/>
    <w:basedOn w:val="DefaultParagraphFont"/>
    <w:uiPriority w:val="21"/>
    <w:qFormat/>
    <w:rsid w:val="00AF7732"/>
    <w:rPr>
      <w:i/>
      <w:iCs/>
      <w:color w:val="0F4761" w:themeColor="accent1" w:themeShade="BF"/>
    </w:rPr>
  </w:style>
  <w:style w:type="paragraph" w:styleId="IntenseQuote">
    <w:name w:val="Intense Quote"/>
    <w:basedOn w:val="Normal"/>
    <w:next w:val="Normal"/>
    <w:link w:val="IntenseQuoteChar"/>
    <w:uiPriority w:val="30"/>
    <w:qFormat/>
    <w:rsid w:val="00AF7732"/>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AF7732"/>
    <w:rPr>
      <w:i/>
      <w:iCs/>
      <w:color w:val="0F4761" w:themeColor="accent1" w:themeShade="BF"/>
    </w:rPr>
  </w:style>
  <w:style w:type="character" w:styleId="IntenseReference">
    <w:name w:val="Intense Reference"/>
    <w:basedOn w:val="DefaultParagraphFont"/>
    <w:uiPriority w:val="32"/>
    <w:qFormat/>
    <w:rsid w:val="00AF7732"/>
    <w:rPr>
      <w:b/>
      <w:bCs/>
      <w:smallCaps/>
      <w:color w:val="0F4761" w:themeColor="accent1" w:themeShade="BF"/>
      <w:spacing w:val="5"/>
    </w:rPr>
  </w:style>
  <w:style w:type="character" w:styleId="FootnoteReference">
    <w:name w:val="footnote reference"/>
    <w:basedOn w:val="DefaultParagraphFont"/>
    <w:uiPriority w:val="99"/>
    <w:semiHidden/>
    <w:unhideWhenUsed/>
    <w:rsid w:val="00AF773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valenciaplaza.com/valenciaplaza/el-gobierno-invertira-casi-7000-millones-de-euros-en-redes-electricas-hasta-2026?utm_source=chatgpt.com" TargetMode="External"/><Relationship Id="rId2" Type="http://schemas.openxmlformats.org/officeDocument/2006/relationships/hyperlink" Target="https://valenciaplaza.com/valenciaplaza/el-gobierno-invertira-casi-7000-millones-de-euros-en-redes-electricas-hasta-2026?utm_source=chatgpt.com" TargetMode="External"/><Relationship Id="rId1" Type="http://schemas.openxmlformats.org/officeDocument/2006/relationships/hyperlink" Target="https://www.lse.ac.uk/granthaminstitute/explainers/what-is-the-just-transition-and-what-does-it-mean-for-climate-action/" TargetMode="External"/><Relationship Id="rId5" Type="http://schemas.openxmlformats.org/officeDocument/2006/relationships/hyperlink" Target="https://ec.europa.eu/regional_policy/whats-new/newsroom/22-12-2022-eu-cohesion-policy-almost-eur-869-million-for-a-just-climate-transition-in-spain_es?utm_source=chatgpt.com" TargetMode="External"/><Relationship Id="rId4" Type="http://schemas.openxmlformats.org/officeDocument/2006/relationships/hyperlink" Target="https://ec.europa.eu/regional_policy/whats-new/newsroom/22-12-2022-eu-cohesion-policy-almost-eur-869-million-for-a-just-climate-transition-in-spain_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1496</Words>
  <Characters>8533</Characters>
  <Application>Microsoft Office Word</Application>
  <DocSecurity>0</DocSecurity>
  <Lines>71</Lines>
  <Paragraphs>20</Paragraphs>
  <ScaleCrop>false</ScaleCrop>
  <Company/>
  <LinksUpToDate>false</LinksUpToDate>
  <CharactersWithSpaces>10009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Nicholson</dc:creator>
  <cp:keywords/>
  <dc:description/>
  <cp:lastModifiedBy>Charles Nicholson</cp:lastModifiedBy>
  <cp:revision>3</cp:revision>
  <dcterms:created xsi:type="dcterms:W3CDTF">2025-12-02T09:29:00Z</dcterms:created>
  <dcterms:modified xsi:type="dcterms:W3CDTF">2025-12-02T09:37:00Z</dcterms:modified>
</cp:coreProperties>
</file>