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5418"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When governments set climate targets, such as “net zero by 2050”, they need a way to test whether those promises are achievable, affordable, and fair. Enter the Integrated Assessment Model (IAM): a tool that combines insights from </w:t>
      </w:r>
      <w:r w:rsidRPr="00D1459E">
        <w:rPr>
          <w:rFonts w:asciiTheme="majorHAnsi" w:hAnsiTheme="majorHAnsi" w:cstheme="majorHAnsi"/>
          <w:b/>
          <w:bCs/>
          <w:sz w:val="24"/>
          <w:szCs w:val="24"/>
        </w:rPr>
        <w:t xml:space="preserve">macroeconomics </w:t>
      </w:r>
      <w:r w:rsidRPr="00D1459E">
        <w:rPr>
          <w:rFonts w:asciiTheme="majorHAnsi" w:hAnsiTheme="majorHAnsi" w:cstheme="majorHAnsi"/>
          <w:sz w:val="24"/>
          <w:szCs w:val="24"/>
        </w:rPr>
        <w:t>and</w:t>
      </w:r>
      <w:r w:rsidRPr="00D1459E">
        <w:rPr>
          <w:rFonts w:asciiTheme="majorHAnsi" w:hAnsiTheme="majorHAnsi" w:cstheme="majorHAnsi"/>
          <w:b/>
          <w:bCs/>
          <w:sz w:val="24"/>
          <w:szCs w:val="24"/>
        </w:rPr>
        <w:t xml:space="preserve"> climate science</w:t>
      </w:r>
      <w:r w:rsidRPr="00D1459E">
        <w:rPr>
          <w:rFonts w:asciiTheme="majorHAnsi" w:hAnsiTheme="majorHAnsi" w:cstheme="majorHAnsi"/>
          <w:sz w:val="24"/>
          <w:szCs w:val="24"/>
        </w:rPr>
        <w:t xml:space="preserve"> to understand how the economy drives climate change and how climate change, in turn, affects the economy.</w:t>
      </w:r>
    </w:p>
    <w:p w14:paraId="2A42089E"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The first IAM was introduced in 1975 by </w:t>
      </w:r>
      <w:r w:rsidRPr="00D1459E">
        <w:rPr>
          <w:rFonts w:asciiTheme="majorHAnsi" w:hAnsiTheme="majorHAnsi" w:cstheme="majorHAnsi"/>
          <w:b/>
          <w:bCs/>
          <w:sz w:val="24"/>
          <w:szCs w:val="24"/>
        </w:rPr>
        <w:t>William Nordhaus</w:t>
      </w:r>
      <w:r w:rsidRPr="00D1459E">
        <w:rPr>
          <w:rFonts w:asciiTheme="majorHAnsi" w:hAnsiTheme="majorHAnsi" w:cstheme="majorHAnsi"/>
          <w:sz w:val="24"/>
          <w:szCs w:val="24"/>
        </w:rPr>
        <w:t xml:space="preserve">, who was later awarded the </w:t>
      </w:r>
      <w:r w:rsidRPr="00D1459E">
        <w:rPr>
          <w:rFonts w:asciiTheme="majorHAnsi" w:hAnsiTheme="majorHAnsi" w:cstheme="majorHAnsi"/>
          <w:b/>
          <w:bCs/>
          <w:sz w:val="24"/>
          <w:szCs w:val="24"/>
        </w:rPr>
        <w:t>2018 Nobel Prize in Economics</w:t>
      </w:r>
      <w:r w:rsidRPr="00D1459E">
        <w:rPr>
          <w:rFonts w:asciiTheme="majorHAnsi" w:hAnsiTheme="majorHAnsi" w:cstheme="majorHAnsi"/>
          <w:sz w:val="24"/>
          <w:szCs w:val="24"/>
        </w:rPr>
        <w:t xml:space="preserve"> for “integrating climate change into long-run macroeconomic analysis.”</w:t>
      </w:r>
      <w:r w:rsidRPr="00D1459E">
        <w:rPr>
          <w:rFonts w:asciiTheme="majorHAnsi" w:hAnsiTheme="majorHAnsi" w:cstheme="majorHAnsi"/>
          <w:sz w:val="24"/>
          <w:szCs w:val="24"/>
          <w:vertAlign w:val="superscript"/>
        </w:rPr>
        <w:footnoteReference w:id="1"/>
      </w:r>
      <w:r w:rsidRPr="00D1459E">
        <w:rPr>
          <w:rFonts w:asciiTheme="majorHAnsi" w:hAnsiTheme="majorHAnsi" w:cstheme="majorHAnsi"/>
          <w:sz w:val="24"/>
          <w:szCs w:val="24"/>
        </w:rPr>
        <w:t xml:space="preserve"> Since then, IAMs have become the workhorses behind many of the numbers that shape climate debates, most notably the </w:t>
      </w:r>
      <w:r w:rsidRPr="00D1459E">
        <w:rPr>
          <w:rFonts w:asciiTheme="majorHAnsi" w:hAnsiTheme="majorHAnsi" w:cstheme="majorHAnsi"/>
          <w:b/>
          <w:bCs/>
          <w:sz w:val="24"/>
          <w:szCs w:val="24"/>
        </w:rPr>
        <w:t>social cost of carbon (SC-CO₂)</w:t>
      </w:r>
      <w:r w:rsidRPr="00D1459E">
        <w:rPr>
          <w:rFonts w:asciiTheme="majorHAnsi" w:hAnsiTheme="majorHAnsi" w:cstheme="majorHAnsi"/>
          <w:sz w:val="24"/>
          <w:szCs w:val="24"/>
        </w:rPr>
        <w:t>.</w:t>
      </w:r>
      <w:r w:rsidRPr="00D1459E">
        <w:rPr>
          <w:rFonts w:asciiTheme="majorHAnsi" w:hAnsiTheme="majorHAnsi" w:cstheme="majorHAnsi"/>
          <w:sz w:val="24"/>
          <w:szCs w:val="24"/>
          <w:vertAlign w:val="superscript"/>
        </w:rPr>
        <w:footnoteReference w:id="2"/>
      </w:r>
    </w:p>
    <w:p w14:paraId="42515E74"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In this opening article, we outline what IAMs are and why they matter.  We also explain key concepts such as the SC-CO</w:t>
      </w:r>
      <w:r w:rsidRPr="00D1459E">
        <w:rPr>
          <w:rFonts w:asciiTheme="majorHAnsi" w:hAnsiTheme="majorHAnsi" w:cstheme="majorHAnsi"/>
          <w:sz w:val="24"/>
          <w:szCs w:val="24"/>
          <w:vertAlign w:val="subscript"/>
        </w:rPr>
        <w:t>2</w:t>
      </w:r>
      <w:r w:rsidRPr="00D1459E">
        <w:rPr>
          <w:rFonts w:asciiTheme="majorHAnsi" w:hAnsiTheme="majorHAnsi" w:cstheme="majorHAnsi"/>
          <w:sz w:val="24"/>
          <w:szCs w:val="24"/>
        </w:rPr>
        <w:t>.  In later articles we will explore, among other things, how IAMs measure damages, handle fairness, model technology, and more.</w:t>
      </w:r>
    </w:p>
    <w:p w14:paraId="46A165CD" w14:textId="77777777" w:rsidR="00B91E2F" w:rsidRPr="00D1459E" w:rsidRDefault="00000000" w:rsidP="00D1459E">
      <w:pPr>
        <w:pStyle w:val="Heading3"/>
        <w:keepNext w:val="0"/>
        <w:keepLines w:val="0"/>
        <w:spacing w:before="280"/>
        <w:jc w:val="both"/>
        <w:rPr>
          <w:rFonts w:asciiTheme="majorHAnsi" w:hAnsiTheme="majorHAnsi" w:cstheme="majorHAnsi"/>
          <w:b/>
          <w:bCs/>
          <w:color w:val="000000"/>
          <w:sz w:val="24"/>
          <w:szCs w:val="24"/>
        </w:rPr>
      </w:pPr>
      <w:bookmarkStart w:id="0" w:name="_7rrgkuwdlqbu" w:colFirst="0" w:colLast="0"/>
      <w:bookmarkEnd w:id="0"/>
      <w:r w:rsidRPr="00D1459E">
        <w:rPr>
          <w:rFonts w:asciiTheme="majorHAnsi" w:hAnsiTheme="majorHAnsi" w:cstheme="majorHAnsi"/>
          <w:b/>
          <w:bCs/>
          <w:color w:val="000000"/>
          <w:sz w:val="24"/>
          <w:szCs w:val="24"/>
        </w:rPr>
        <w:t>What is an Integrated Assessment Model?</w:t>
      </w:r>
    </w:p>
    <w:p w14:paraId="38CB4543"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At its core, an IAM is a </w:t>
      </w:r>
      <w:r w:rsidRPr="00D1459E">
        <w:rPr>
          <w:rFonts w:asciiTheme="majorHAnsi" w:hAnsiTheme="majorHAnsi" w:cstheme="majorHAnsi"/>
          <w:b/>
          <w:bCs/>
          <w:sz w:val="24"/>
          <w:szCs w:val="24"/>
        </w:rPr>
        <w:t>macroeconomic framework</w:t>
      </w:r>
      <w:r w:rsidRPr="00D1459E">
        <w:rPr>
          <w:rFonts w:asciiTheme="majorHAnsi" w:hAnsiTheme="majorHAnsi" w:cstheme="majorHAnsi"/>
          <w:sz w:val="24"/>
          <w:szCs w:val="24"/>
        </w:rPr>
        <w:t xml:space="preserve"> that links human activity and the natural environment. It’s a simplified representation of how the economy and the climate interact, capturing feedback in both directions: how production and energy use drive emissions, and how climate change, in turn, affects the economy. Unlike tools that study just one part of the system - say, an energy-market model or a climate simulation - IAMs integrate these dynamics within a unified framework.</w:t>
      </w:r>
    </w:p>
    <w:p w14:paraId="692CE25F"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They typically include </w:t>
      </w:r>
      <w:r w:rsidRPr="00D1459E">
        <w:rPr>
          <w:rFonts w:asciiTheme="majorHAnsi" w:hAnsiTheme="majorHAnsi" w:cstheme="majorHAnsi"/>
          <w:b/>
          <w:bCs/>
          <w:sz w:val="24"/>
          <w:szCs w:val="24"/>
        </w:rPr>
        <w:t xml:space="preserve">three interlinked building blocks </w:t>
      </w:r>
      <w:r w:rsidRPr="00D1459E">
        <w:rPr>
          <w:rFonts w:asciiTheme="majorHAnsi" w:hAnsiTheme="majorHAnsi" w:cstheme="majorHAnsi"/>
          <w:sz w:val="24"/>
          <w:szCs w:val="24"/>
        </w:rPr>
        <w:t>that form a feedback loop between the economy, the carbon system, and the climate system</w:t>
      </w:r>
    </w:p>
    <w:p w14:paraId="79F537D7" w14:textId="77777777" w:rsidR="00B91E2F" w:rsidRPr="00D1459E" w:rsidRDefault="00000000" w:rsidP="00D1459E">
      <w:pPr>
        <w:numPr>
          <w:ilvl w:val="0"/>
          <w:numId w:val="3"/>
        </w:numPr>
        <w:spacing w:before="240"/>
        <w:jc w:val="both"/>
        <w:rPr>
          <w:rFonts w:asciiTheme="majorHAnsi" w:hAnsiTheme="majorHAnsi" w:cstheme="majorHAnsi"/>
          <w:sz w:val="24"/>
          <w:szCs w:val="24"/>
        </w:rPr>
      </w:pPr>
      <w:r w:rsidRPr="00D1459E">
        <w:rPr>
          <w:rFonts w:asciiTheme="majorHAnsi" w:hAnsiTheme="majorHAnsi" w:cstheme="majorHAnsi"/>
          <w:b/>
          <w:bCs/>
          <w:sz w:val="24"/>
          <w:szCs w:val="24"/>
        </w:rPr>
        <w:t>Economy:</w:t>
      </w:r>
      <w:r w:rsidRPr="00D1459E">
        <w:rPr>
          <w:rFonts w:asciiTheme="majorHAnsi" w:hAnsiTheme="majorHAnsi" w:cstheme="majorHAnsi"/>
          <w:sz w:val="24"/>
          <w:szCs w:val="24"/>
        </w:rPr>
        <w:t xml:space="preserve"> A macroeconomic growth model, often </w:t>
      </w:r>
      <w:r w:rsidRPr="00D1459E">
        <w:rPr>
          <w:rFonts w:asciiTheme="majorHAnsi" w:hAnsiTheme="majorHAnsi" w:cstheme="majorHAnsi"/>
          <w:i/>
          <w:iCs/>
          <w:sz w:val="24"/>
          <w:szCs w:val="24"/>
        </w:rPr>
        <w:t>neoclassical</w:t>
      </w:r>
      <w:r w:rsidRPr="00D1459E">
        <w:rPr>
          <w:rFonts w:asciiTheme="majorHAnsi" w:hAnsiTheme="majorHAnsi" w:cstheme="majorHAnsi"/>
          <w:sz w:val="24"/>
          <w:szCs w:val="24"/>
        </w:rPr>
        <w:t xml:space="preserve">, that </w:t>
      </w:r>
      <w:proofErr w:type="spellStart"/>
      <w:r w:rsidRPr="00D1459E">
        <w:rPr>
          <w:rFonts w:asciiTheme="majorHAnsi" w:hAnsiTheme="majorHAnsi" w:cstheme="majorHAnsi"/>
          <w:sz w:val="24"/>
          <w:szCs w:val="24"/>
        </w:rPr>
        <w:t>maximises</w:t>
      </w:r>
      <w:proofErr w:type="spellEnd"/>
      <w:r w:rsidRPr="00D1459E">
        <w:rPr>
          <w:rFonts w:asciiTheme="majorHAnsi" w:hAnsiTheme="majorHAnsi" w:cstheme="majorHAnsi"/>
          <w:sz w:val="24"/>
          <w:szCs w:val="24"/>
        </w:rPr>
        <w:t xml:space="preserve"> the welfare of a representative agent, while accounting for policies such as carbon taxes or renewables subsidies. Economic activity requires energy and therefore generates greenhouse gas emissions that enter the carbon system.</w:t>
      </w:r>
      <w:r w:rsidRPr="00D1459E">
        <w:rPr>
          <w:rFonts w:asciiTheme="majorHAnsi" w:hAnsiTheme="majorHAnsi" w:cstheme="majorHAnsi"/>
          <w:sz w:val="24"/>
          <w:szCs w:val="24"/>
        </w:rPr>
        <w:br/>
      </w:r>
    </w:p>
    <w:p w14:paraId="4F6C316F" w14:textId="77777777" w:rsidR="00B91E2F" w:rsidRPr="00D1459E" w:rsidRDefault="00000000" w:rsidP="00D1459E">
      <w:pPr>
        <w:numPr>
          <w:ilvl w:val="0"/>
          <w:numId w:val="3"/>
        </w:numPr>
        <w:jc w:val="both"/>
        <w:rPr>
          <w:rFonts w:asciiTheme="majorHAnsi" w:hAnsiTheme="majorHAnsi" w:cstheme="majorHAnsi"/>
          <w:sz w:val="24"/>
          <w:szCs w:val="24"/>
        </w:rPr>
      </w:pPr>
      <w:r w:rsidRPr="00D1459E">
        <w:rPr>
          <w:rFonts w:asciiTheme="majorHAnsi" w:hAnsiTheme="majorHAnsi" w:cstheme="majorHAnsi"/>
          <w:b/>
          <w:bCs/>
          <w:sz w:val="24"/>
          <w:szCs w:val="24"/>
        </w:rPr>
        <w:t>Carbon System:</w:t>
      </w:r>
      <w:r w:rsidRPr="00D1459E">
        <w:rPr>
          <w:rFonts w:asciiTheme="majorHAnsi" w:hAnsiTheme="majorHAnsi" w:cstheme="majorHAnsi"/>
          <w:sz w:val="24"/>
          <w:szCs w:val="24"/>
        </w:rPr>
        <w:t xml:space="preserve"> How emissions from the economy accumulate in the atmosphere and oceans, determining the concentration of greenhouse gases over time.</w:t>
      </w:r>
      <w:r w:rsidRPr="00D1459E">
        <w:rPr>
          <w:rFonts w:asciiTheme="majorHAnsi" w:hAnsiTheme="majorHAnsi" w:cstheme="majorHAnsi"/>
          <w:sz w:val="24"/>
          <w:szCs w:val="24"/>
        </w:rPr>
        <w:br/>
      </w:r>
    </w:p>
    <w:p w14:paraId="04B1529C" w14:textId="77777777" w:rsidR="00B91E2F" w:rsidRPr="00D1459E" w:rsidRDefault="00000000" w:rsidP="00D1459E">
      <w:pPr>
        <w:numPr>
          <w:ilvl w:val="0"/>
          <w:numId w:val="3"/>
        </w:numPr>
        <w:spacing w:after="240"/>
        <w:jc w:val="both"/>
        <w:rPr>
          <w:rFonts w:asciiTheme="majorHAnsi" w:hAnsiTheme="majorHAnsi" w:cstheme="majorHAnsi"/>
          <w:sz w:val="24"/>
          <w:szCs w:val="24"/>
        </w:rPr>
      </w:pPr>
      <w:r w:rsidRPr="00D1459E">
        <w:rPr>
          <w:rFonts w:asciiTheme="majorHAnsi" w:hAnsiTheme="majorHAnsi" w:cstheme="majorHAnsi"/>
          <w:b/>
          <w:bCs/>
          <w:sz w:val="24"/>
          <w:szCs w:val="24"/>
        </w:rPr>
        <w:lastRenderedPageBreak/>
        <w:t>Climate System:</w:t>
      </w:r>
      <w:r w:rsidRPr="00D1459E">
        <w:rPr>
          <w:rFonts w:asciiTheme="majorHAnsi" w:hAnsiTheme="majorHAnsi" w:cstheme="majorHAnsi"/>
          <w:sz w:val="24"/>
          <w:szCs w:val="24"/>
        </w:rPr>
        <w:t xml:space="preserve"> How the Earth’s system reacts to those greenhouse gas concentrations, determining temperature increases, sea-level rise, and other physical impacts.</w:t>
      </w:r>
    </w:p>
    <w:p w14:paraId="21BAD1A3"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A so-called </w:t>
      </w:r>
      <w:r w:rsidRPr="00D1459E">
        <w:rPr>
          <w:rFonts w:asciiTheme="majorHAnsi" w:hAnsiTheme="majorHAnsi" w:cstheme="majorHAnsi"/>
          <w:i/>
          <w:iCs/>
          <w:sz w:val="24"/>
          <w:szCs w:val="24"/>
        </w:rPr>
        <w:t>damage function</w:t>
      </w:r>
      <w:r w:rsidRPr="00D1459E">
        <w:rPr>
          <w:rFonts w:asciiTheme="majorHAnsi" w:hAnsiTheme="majorHAnsi" w:cstheme="majorHAnsi"/>
          <w:sz w:val="24"/>
          <w:szCs w:val="24"/>
        </w:rPr>
        <w:t xml:space="preserve">, which represents how impacts from the climate system harm the </w:t>
      </w:r>
      <w:proofErr w:type="gramStart"/>
      <w:r w:rsidRPr="00D1459E">
        <w:rPr>
          <w:rFonts w:asciiTheme="majorHAnsi" w:hAnsiTheme="majorHAnsi" w:cstheme="majorHAnsi"/>
          <w:sz w:val="24"/>
          <w:szCs w:val="24"/>
        </w:rPr>
        <w:t>economy,  then</w:t>
      </w:r>
      <w:proofErr w:type="gramEnd"/>
      <w:r w:rsidRPr="00D1459E">
        <w:rPr>
          <w:rFonts w:asciiTheme="majorHAnsi" w:hAnsiTheme="majorHAnsi" w:cstheme="majorHAnsi"/>
          <w:sz w:val="24"/>
          <w:szCs w:val="24"/>
        </w:rPr>
        <w:t xml:space="preserve"> completes the feedback loop. These </w:t>
      </w:r>
      <w:proofErr w:type="gramStart"/>
      <w:r w:rsidRPr="00D1459E">
        <w:rPr>
          <w:rFonts w:asciiTheme="majorHAnsi" w:hAnsiTheme="majorHAnsi" w:cstheme="majorHAnsi"/>
          <w:sz w:val="24"/>
          <w:szCs w:val="24"/>
        </w:rPr>
        <w:t>damage  functions</w:t>
      </w:r>
      <w:proofErr w:type="gramEnd"/>
      <w:r w:rsidRPr="00D1459E">
        <w:rPr>
          <w:rFonts w:asciiTheme="majorHAnsi" w:hAnsiTheme="majorHAnsi" w:cstheme="majorHAnsi"/>
          <w:sz w:val="24"/>
          <w:szCs w:val="24"/>
        </w:rPr>
        <w:t xml:space="preserve"> are so essential to IAMs that they will be the focus of the next article in this series. However, as we will see, they are often incomplete. </w:t>
      </w:r>
    </w:p>
    <w:p w14:paraId="17091F14"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We </w:t>
      </w:r>
      <w:proofErr w:type="gramStart"/>
      <w:r w:rsidRPr="00D1459E">
        <w:rPr>
          <w:rFonts w:asciiTheme="majorHAnsi" w:hAnsiTheme="majorHAnsi" w:cstheme="majorHAnsi"/>
          <w:sz w:val="24"/>
          <w:szCs w:val="24"/>
        </w:rPr>
        <w:t>have  neatly</w:t>
      </w:r>
      <w:proofErr w:type="gramEnd"/>
      <w:r w:rsidRPr="00D1459E">
        <w:rPr>
          <w:rFonts w:asciiTheme="majorHAnsi" w:hAnsiTheme="majorHAnsi" w:cstheme="majorHAnsi"/>
          <w:sz w:val="24"/>
          <w:szCs w:val="24"/>
        </w:rPr>
        <w:t xml:space="preserve"> </w:t>
      </w:r>
      <w:proofErr w:type="spellStart"/>
      <w:r w:rsidRPr="00D1459E">
        <w:rPr>
          <w:rFonts w:asciiTheme="majorHAnsi" w:hAnsiTheme="majorHAnsi" w:cstheme="majorHAnsi"/>
          <w:sz w:val="24"/>
          <w:szCs w:val="24"/>
        </w:rPr>
        <w:t>summarised</w:t>
      </w:r>
      <w:proofErr w:type="spellEnd"/>
      <w:r w:rsidRPr="00D1459E">
        <w:rPr>
          <w:rFonts w:asciiTheme="majorHAnsi" w:hAnsiTheme="majorHAnsi" w:cstheme="majorHAnsi"/>
          <w:sz w:val="24"/>
          <w:szCs w:val="24"/>
        </w:rPr>
        <w:t xml:space="preserve"> these interlinked building blocks in the figure below.</w:t>
      </w:r>
    </w:p>
    <w:p w14:paraId="53F9F2F8"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noProof/>
          <w:sz w:val="24"/>
          <w:szCs w:val="24"/>
        </w:rPr>
        <w:drawing>
          <wp:inline distT="114300" distB="114300" distL="114300" distR="114300" wp14:anchorId="4E3D2613" wp14:editId="1AEA79A0">
            <wp:extent cx="5943600" cy="2882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882900"/>
                    </a:xfrm>
                    <a:prstGeom prst="rect">
                      <a:avLst/>
                    </a:prstGeom>
                    <a:ln/>
                  </pic:spPr>
                </pic:pic>
              </a:graphicData>
            </a:graphic>
          </wp:inline>
        </w:drawing>
      </w:r>
    </w:p>
    <w:p w14:paraId="36EAF07B"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Some IAMs are simplified or </w:t>
      </w:r>
      <w:r w:rsidRPr="00D1459E">
        <w:rPr>
          <w:rFonts w:asciiTheme="majorHAnsi" w:hAnsiTheme="majorHAnsi" w:cstheme="majorHAnsi"/>
          <w:i/>
          <w:iCs/>
          <w:sz w:val="24"/>
          <w:szCs w:val="24"/>
        </w:rPr>
        <w:t>“top-down”</w:t>
      </w:r>
      <w:r w:rsidRPr="00D1459E">
        <w:rPr>
          <w:rFonts w:asciiTheme="majorHAnsi" w:hAnsiTheme="majorHAnsi" w:cstheme="majorHAnsi"/>
          <w:sz w:val="24"/>
          <w:szCs w:val="24"/>
        </w:rPr>
        <w:t xml:space="preserve"> models, designed for fast exploration of trade-offs at the global level (e.g. </w:t>
      </w:r>
      <w:r w:rsidRPr="00D1459E">
        <w:rPr>
          <w:rFonts w:asciiTheme="majorHAnsi" w:hAnsiTheme="majorHAnsi" w:cstheme="majorHAnsi"/>
          <w:b/>
          <w:bCs/>
          <w:sz w:val="24"/>
          <w:szCs w:val="24"/>
        </w:rPr>
        <w:t>DICE</w:t>
      </w:r>
      <w:r w:rsidRPr="00D1459E">
        <w:rPr>
          <w:rFonts w:asciiTheme="majorHAnsi" w:hAnsiTheme="majorHAnsi" w:cstheme="majorHAnsi"/>
          <w:sz w:val="24"/>
          <w:szCs w:val="24"/>
        </w:rPr>
        <w:t xml:space="preserve">, </w:t>
      </w:r>
      <w:r w:rsidRPr="00D1459E">
        <w:rPr>
          <w:rFonts w:asciiTheme="majorHAnsi" w:hAnsiTheme="majorHAnsi" w:cstheme="majorHAnsi"/>
          <w:b/>
          <w:bCs/>
          <w:sz w:val="24"/>
          <w:szCs w:val="24"/>
        </w:rPr>
        <w:t>PAGE</w:t>
      </w:r>
      <w:r w:rsidRPr="00D1459E">
        <w:rPr>
          <w:rFonts w:asciiTheme="majorHAnsi" w:hAnsiTheme="majorHAnsi" w:cstheme="majorHAnsi"/>
          <w:sz w:val="24"/>
          <w:szCs w:val="24"/>
        </w:rPr>
        <w:t xml:space="preserve">, </w:t>
      </w:r>
      <w:r w:rsidRPr="00D1459E">
        <w:rPr>
          <w:rFonts w:asciiTheme="majorHAnsi" w:hAnsiTheme="majorHAnsi" w:cstheme="majorHAnsi"/>
          <w:b/>
          <w:bCs/>
          <w:sz w:val="24"/>
          <w:szCs w:val="24"/>
        </w:rPr>
        <w:t>FUND</w:t>
      </w:r>
      <w:r w:rsidRPr="00D1459E">
        <w:rPr>
          <w:rFonts w:asciiTheme="majorHAnsi" w:hAnsiTheme="majorHAnsi" w:cstheme="majorHAnsi"/>
          <w:sz w:val="24"/>
          <w:szCs w:val="24"/>
        </w:rPr>
        <w:t xml:space="preserve">). These treat the economy as a single aggregate system and focus on overall dynamics rather than sectoral detail. Others are much more detailed, </w:t>
      </w:r>
      <w:r w:rsidRPr="00D1459E">
        <w:rPr>
          <w:rFonts w:asciiTheme="majorHAnsi" w:hAnsiTheme="majorHAnsi" w:cstheme="majorHAnsi"/>
          <w:i/>
          <w:iCs/>
          <w:sz w:val="24"/>
          <w:szCs w:val="24"/>
        </w:rPr>
        <w:t>“bottom-up”,</w:t>
      </w:r>
      <w:r w:rsidRPr="00D1459E">
        <w:rPr>
          <w:rFonts w:asciiTheme="majorHAnsi" w:hAnsiTheme="majorHAnsi" w:cstheme="majorHAnsi"/>
          <w:sz w:val="24"/>
          <w:szCs w:val="24"/>
        </w:rPr>
        <w:t xml:space="preserve"> models (e.g. </w:t>
      </w:r>
      <w:r w:rsidRPr="00D1459E">
        <w:rPr>
          <w:rFonts w:asciiTheme="majorHAnsi" w:hAnsiTheme="majorHAnsi" w:cstheme="majorHAnsi"/>
          <w:b/>
          <w:bCs/>
          <w:sz w:val="24"/>
          <w:szCs w:val="24"/>
        </w:rPr>
        <w:t>REMIND</w:t>
      </w:r>
      <w:r w:rsidRPr="00D1459E">
        <w:rPr>
          <w:rFonts w:asciiTheme="majorHAnsi" w:hAnsiTheme="majorHAnsi" w:cstheme="majorHAnsi"/>
          <w:sz w:val="24"/>
          <w:szCs w:val="24"/>
        </w:rPr>
        <w:t xml:space="preserve">, </w:t>
      </w:r>
      <w:r w:rsidRPr="00D1459E">
        <w:rPr>
          <w:rFonts w:asciiTheme="majorHAnsi" w:hAnsiTheme="majorHAnsi" w:cstheme="majorHAnsi"/>
          <w:b/>
          <w:bCs/>
          <w:sz w:val="24"/>
          <w:szCs w:val="24"/>
        </w:rPr>
        <w:t>GCAM</w:t>
      </w:r>
      <w:r w:rsidRPr="00D1459E">
        <w:rPr>
          <w:rFonts w:asciiTheme="majorHAnsi" w:hAnsiTheme="majorHAnsi" w:cstheme="majorHAnsi"/>
          <w:sz w:val="24"/>
          <w:szCs w:val="24"/>
        </w:rPr>
        <w:t xml:space="preserve">, </w:t>
      </w:r>
      <w:r w:rsidRPr="00D1459E">
        <w:rPr>
          <w:rFonts w:asciiTheme="majorHAnsi" w:hAnsiTheme="majorHAnsi" w:cstheme="majorHAnsi"/>
          <w:b/>
          <w:bCs/>
          <w:sz w:val="24"/>
          <w:szCs w:val="24"/>
        </w:rPr>
        <w:t>WITCH</w:t>
      </w:r>
      <w:r w:rsidRPr="00D1459E">
        <w:rPr>
          <w:rFonts w:asciiTheme="majorHAnsi" w:hAnsiTheme="majorHAnsi" w:cstheme="majorHAnsi"/>
          <w:sz w:val="24"/>
          <w:szCs w:val="24"/>
        </w:rPr>
        <w:t>), which build the economy from its components, including different energy sectors, technologies, and regions.</w:t>
      </w:r>
    </w:p>
    <w:p w14:paraId="6E187719" w14:textId="77777777" w:rsidR="00B91E2F" w:rsidRPr="00D1459E" w:rsidRDefault="00000000" w:rsidP="00D1459E">
      <w:pPr>
        <w:pStyle w:val="Heading3"/>
        <w:keepNext w:val="0"/>
        <w:keepLines w:val="0"/>
        <w:spacing w:before="280"/>
        <w:jc w:val="both"/>
        <w:rPr>
          <w:rFonts w:asciiTheme="majorHAnsi" w:hAnsiTheme="majorHAnsi" w:cstheme="majorHAnsi"/>
          <w:b/>
          <w:bCs/>
          <w:color w:val="000000"/>
          <w:sz w:val="24"/>
          <w:szCs w:val="24"/>
        </w:rPr>
      </w:pPr>
      <w:bookmarkStart w:id="1" w:name="_pifb8oqpvz75" w:colFirst="0" w:colLast="0"/>
      <w:bookmarkEnd w:id="1"/>
      <w:r w:rsidRPr="00D1459E">
        <w:rPr>
          <w:rFonts w:asciiTheme="majorHAnsi" w:hAnsiTheme="majorHAnsi" w:cstheme="majorHAnsi"/>
          <w:b/>
          <w:bCs/>
          <w:color w:val="000000"/>
          <w:sz w:val="24"/>
          <w:szCs w:val="24"/>
        </w:rPr>
        <w:t>Why do IAMs matter?</w:t>
      </w:r>
    </w:p>
    <w:p w14:paraId="3B9DE0CF"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IAMs matter because they connect policy choices today with economic and environmental outcomes tomorrow. They are used in three broad ways:</w:t>
      </w:r>
    </w:p>
    <w:p w14:paraId="32C6403D" w14:textId="77777777" w:rsidR="00B91E2F" w:rsidRPr="00D1459E" w:rsidRDefault="00000000" w:rsidP="00D1459E">
      <w:pPr>
        <w:numPr>
          <w:ilvl w:val="0"/>
          <w:numId w:val="4"/>
        </w:numPr>
        <w:spacing w:before="240"/>
        <w:jc w:val="both"/>
        <w:rPr>
          <w:rFonts w:asciiTheme="majorHAnsi" w:hAnsiTheme="majorHAnsi" w:cstheme="majorHAnsi"/>
          <w:sz w:val="24"/>
          <w:szCs w:val="24"/>
        </w:rPr>
      </w:pPr>
      <w:r w:rsidRPr="00D1459E">
        <w:rPr>
          <w:rFonts w:asciiTheme="majorHAnsi" w:hAnsiTheme="majorHAnsi" w:cstheme="majorHAnsi"/>
          <w:b/>
          <w:bCs/>
          <w:sz w:val="24"/>
          <w:szCs w:val="24"/>
        </w:rPr>
        <w:t>Policy design:</w:t>
      </w:r>
      <w:r w:rsidRPr="00D1459E">
        <w:rPr>
          <w:rFonts w:asciiTheme="majorHAnsi" w:hAnsiTheme="majorHAnsi" w:cstheme="majorHAnsi"/>
          <w:sz w:val="24"/>
          <w:szCs w:val="24"/>
        </w:rPr>
        <w:t xml:space="preserve"> IAMs estimate the SC-CO</w:t>
      </w:r>
      <w:r w:rsidRPr="00D1459E">
        <w:rPr>
          <w:rFonts w:asciiTheme="majorHAnsi" w:hAnsiTheme="majorHAnsi" w:cstheme="majorHAnsi"/>
          <w:sz w:val="24"/>
          <w:szCs w:val="24"/>
          <w:vertAlign w:val="subscript"/>
        </w:rPr>
        <w:t>2</w:t>
      </w:r>
      <w:r w:rsidRPr="00D1459E">
        <w:rPr>
          <w:rFonts w:asciiTheme="majorHAnsi" w:hAnsiTheme="majorHAnsi" w:cstheme="majorHAnsi"/>
          <w:sz w:val="24"/>
          <w:szCs w:val="24"/>
        </w:rPr>
        <w:t xml:space="preserve"> and simulate the impact of policies such as carbon taxes or renewables subsidies, allowing the comparison of options.</w:t>
      </w:r>
      <w:r w:rsidRPr="00D1459E">
        <w:rPr>
          <w:rFonts w:asciiTheme="majorHAnsi" w:hAnsiTheme="majorHAnsi" w:cstheme="majorHAnsi"/>
          <w:sz w:val="24"/>
          <w:szCs w:val="24"/>
        </w:rPr>
        <w:br/>
      </w:r>
    </w:p>
    <w:p w14:paraId="7A9B323B" w14:textId="77777777" w:rsidR="00B91E2F" w:rsidRPr="00D1459E" w:rsidRDefault="00000000" w:rsidP="00D1459E">
      <w:pPr>
        <w:numPr>
          <w:ilvl w:val="0"/>
          <w:numId w:val="4"/>
        </w:numPr>
        <w:jc w:val="both"/>
        <w:rPr>
          <w:rFonts w:asciiTheme="majorHAnsi" w:hAnsiTheme="majorHAnsi" w:cstheme="majorHAnsi"/>
          <w:sz w:val="24"/>
          <w:szCs w:val="24"/>
        </w:rPr>
      </w:pPr>
      <w:r w:rsidRPr="00D1459E">
        <w:rPr>
          <w:rFonts w:asciiTheme="majorHAnsi" w:hAnsiTheme="majorHAnsi" w:cstheme="majorHAnsi"/>
          <w:b/>
          <w:bCs/>
          <w:sz w:val="24"/>
          <w:szCs w:val="24"/>
        </w:rPr>
        <w:lastRenderedPageBreak/>
        <w:t>Target setting:</w:t>
      </w:r>
      <w:r w:rsidRPr="00D1459E">
        <w:rPr>
          <w:rFonts w:asciiTheme="majorHAnsi" w:hAnsiTheme="majorHAnsi" w:cstheme="majorHAnsi"/>
          <w:sz w:val="24"/>
          <w:szCs w:val="24"/>
        </w:rPr>
        <w:t xml:space="preserve"> IAM scenarios translate carbon budgets - defined by climate science - into feasible economic pathways.</w:t>
      </w:r>
      <w:r w:rsidRPr="00D1459E">
        <w:rPr>
          <w:rFonts w:asciiTheme="majorHAnsi" w:hAnsiTheme="majorHAnsi" w:cstheme="majorHAnsi"/>
          <w:sz w:val="24"/>
          <w:szCs w:val="24"/>
          <w:vertAlign w:val="superscript"/>
        </w:rPr>
        <w:footnoteReference w:id="3"/>
      </w:r>
      <w:r w:rsidRPr="00D1459E">
        <w:rPr>
          <w:rFonts w:asciiTheme="majorHAnsi" w:hAnsiTheme="majorHAnsi" w:cstheme="majorHAnsi"/>
          <w:sz w:val="24"/>
          <w:szCs w:val="24"/>
        </w:rPr>
        <w:br/>
      </w:r>
    </w:p>
    <w:p w14:paraId="2EE30BFA" w14:textId="77777777" w:rsidR="00B91E2F" w:rsidRPr="00D1459E" w:rsidRDefault="00000000" w:rsidP="00D1459E">
      <w:pPr>
        <w:numPr>
          <w:ilvl w:val="0"/>
          <w:numId w:val="4"/>
        </w:numPr>
        <w:spacing w:after="240"/>
        <w:jc w:val="both"/>
        <w:rPr>
          <w:rFonts w:asciiTheme="majorHAnsi" w:hAnsiTheme="majorHAnsi" w:cstheme="majorHAnsi"/>
          <w:sz w:val="24"/>
          <w:szCs w:val="24"/>
        </w:rPr>
      </w:pPr>
      <w:r w:rsidRPr="00D1459E">
        <w:rPr>
          <w:rFonts w:asciiTheme="majorHAnsi" w:hAnsiTheme="majorHAnsi" w:cstheme="majorHAnsi"/>
          <w:b/>
          <w:bCs/>
          <w:sz w:val="24"/>
          <w:szCs w:val="24"/>
        </w:rPr>
        <w:t>Trade-offs:</w:t>
      </w:r>
      <w:r w:rsidRPr="00D1459E">
        <w:rPr>
          <w:rFonts w:asciiTheme="majorHAnsi" w:hAnsiTheme="majorHAnsi" w:cstheme="majorHAnsi"/>
          <w:sz w:val="24"/>
          <w:szCs w:val="24"/>
        </w:rPr>
        <w:t xml:space="preserve"> IAMs help identify which policies </w:t>
      </w:r>
      <w:proofErr w:type="spellStart"/>
      <w:r w:rsidRPr="00D1459E">
        <w:rPr>
          <w:rFonts w:asciiTheme="majorHAnsi" w:hAnsiTheme="majorHAnsi" w:cstheme="majorHAnsi"/>
          <w:sz w:val="24"/>
          <w:szCs w:val="24"/>
        </w:rPr>
        <w:t>minimise</w:t>
      </w:r>
      <w:proofErr w:type="spellEnd"/>
      <w:r w:rsidRPr="00D1459E">
        <w:rPr>
          <w:rFonts w:asciiTheme="majorHAnsi" w:hAnsiTheme="majorHAnsi" w:cstheme="majorHAnsi"/>
          <w:sz w:val="24"/>
          <w:szCs w:val="24"/>
        </w:rPr>
        <w:t xml:space="preserve"> overall costs and how benefits are distributed over time.</w:t>
      </w:r>
    </w:p>
    <w:tbl>
      <w:tblPr>
        <w:tblStyle w:val="a"/>
        <w:tblW w:w="9360" w:type="dxa"/>
        <w:tblInd w:w="0" w:type="dxa"/>
        <w:tblLayout w:type="fixed"/>
        <w:tblLook w:val="0600" w:firstRow="0" w:lastRow="0" w:firstColumn="0" w:lastColumn="0" w:noHBand="1" w:noVBand="1"/>
      </w:tblPr>
      <w:tblGrid>
        <w:gridCol w:w="9360"/>
      </w:tblGrid>
      <w:tr w:rsidR="00B91E2F" w:rsidRPr="00D1459E" w14:paraId="17DB21A4" w14:textId="77777777">
        <w:tc>
          <w:tcPr>
            <w:tcW w:w="9360" w:type="dxa"/>
            <w:shd w:val="clear" w:color="auto" w:fill="CFE2F3"/>
            <w:tcMar>
              <w:top w:w="100" w:type="dxa"/>
              <w:left w:w="100" w:type="dxa"/>
              <w:bottom w:w="100" w:type="dxa"/>
              <w:right w:w="100" w:type="dxa"/>
            </w:tcMar>
          </w:tcPr>
          <w:p w14:paraId="574F4A1D" w14:textId="77777777" w:rsidR="00B91E2F" w:rsidRPr="00D1459E" w:rsidRDefault="00000000" w:rsidP="00D1459E">
            <w:pPr>
              <w:pStyle w:val="Heading3"/>
              <w:keepNext w:val="0"/>
              <w:keepLines w:val="0"/>
              <w:spacing w:before="280"/>
              <w:jc w:val="both"/>
              <w:rPr>
                <w:rFonts w:asciiTheme="majorHAnsi" w:hAnsiTheme="majorHAnsi" w:cstheme="majorHAnsi"/>
                <w:i/>
                <w:iCs/>
                <w:sz w:val="24"/>
                <w:szCs w:val="24"/>
              </w:rPr>
            </w:pPr>
            <w:bookmarkStart w:id="2" w:name="_q8atjfu48akr" w:colFirst="0" w:colLast="0"/>
            <w:bookmarkEnd w:id="2"/>
            <w:r w:rsidRPr="00D1459E">
              <w:rPr>
                <w:rFonts w:asciiTheme="majorHAnsi" w:hAnsiTheme="majorHAnsi" w:cstheme="majorHAnsi"/>
                <w:b/>
                <w:bCs/>
                <w:color w:val="000000"/>
                <w:sz w:val="24"/>
                <w:szCs w:val="24"/>
              </w:rPr>
              <w:t>Key Concepts: The Social Cost of Carbon and Carbon Budgets</w:t>
            </w:r>
          </w:p>
        </w:tc>
      </w:tr>
      <w:tr w:rsidR="00B91E2F" w:rsidRPr="00D1459E" w14:paraId="0843155E" w14:textId="77777777">
        <w:tc>
          <w:tcPr>
            <w:tcW w:w="9360" w:type="dxa"/>
            <w:shd w:val="clear" w:color="auto" w:fill="CFE2F3"/>
            <w:tcMar>
              <w:top w:w="100" w:type="dxa"/>
              <w:left w:w="100" w:type="dxa"/>
              <w:bottom w:w="100" w:type="dxa"/>
              <w:right w:w="100" w:type="dxa"/>
            </w:tcMar>
          </w:tcPr>
          <w:p w14:paraId="4CA641A8" w14:textId="77777777" w:rsidR="00B91E2F" w:rsidRPr="00D1459E" w:rsidRDefault="00000000" w:rsidP="00D1459E">
            <w:pPr>
              <w:spacing w:after="240"/>
              <w:jc w:val="both"/>
              <w:rPr>
                <w:rFonts w:asciiTheme="majorHAnsi" w:hAnsiTheme="majorHAnsi" w:cstheme="majorHAnsi"/>
                <w:sz w:val="24"/>
                <w:szCs w:val="24"/>
              </w:rPr>
            </w:pPr>
            <w:r w:rsidRPr="00D1459E">
              <w:rPr>
                <w:rFonts w:asciiTheme="majorHAnsi" w:hAnsiTheme="majorHAnsi" w:cstheme="majorHAnsi"/>
                <w:b/>
                <w:bCs/>
                <w:sz w:val="24"/>
                <w:szCs w:val="24"/>
              </w:rPr>
              <w:t xml:space="preserve">Social Cost of Carbon (SC-CO₂): </w:t>
            </w:r>
            <w:r w:rsidRPr="00D1459E">
              <w:rPr>
                <w:rFonts w:asciiTheme="majorHAnsi" w:hAnsiTheme="majorHAnsi" w:cstheme="majorHAnsi"/>
                <w:sz w:val="24"/>
                <w:szCs w:val="24"/>
              </w:rPr>
              <w:t xml:space="preserve">The estimated monetary value of the global economic damage caused by emitting one additional </w:t>
            </w:r>
            <w:proofErr w:type="spellStart"/>
            <w:r w:rsidRPr="00D1459E">
              <w:rPr>
                <w:rFonts w:asciiTheme="majorHAnsi" w:hAnsiTheme="majorHAnsi" w:cstheme="majorHAnsi"/>
                <w:sz w:val="24"/>
                <w:szCs w:val="24"/>
              </w:rPr>
              <w:t>tonne</w:t>
            </w:r>
            <w:proofErr w:type="spellEnd"/>
            <w:r w:rsidRPr="00D1459E">
              <w:rPr>
                <w:rFonts w:asciiTheme="majorHAnsi" w:hAnsiTheme="majorHAnsi" w:cstheme="majorHAnsi"/>
                <w:sz w:val="24"/>
                <w:szCs w:val="24"/>
              </w:rPr>
              <w:t xml:space="preserve"> of CO₂, expressed in present-value terms. In economic terms, it represents the marginal external cost of emissions, that is, the negative externality </w:t>
            </w:r>
            <w:proofErr w:type="gramStart"/>
            <w:r w:rsidRPr="00D1459E">
              <w:rPr>
                <w:rFonts w:asciiTheme="majorHAnsi" w:hAnsiTheme="majorHAnsi" w:cstheme="majorHAnsi"/>
                <w:sz w:val="24"/>
                <w:szCs w:val="24"/>
              </w:rPr>
              <w:t>impose</w:t>
            </w:r>
            <w:proofErr w:type="gramEnd"/>
            <w:r w:rsidRPr="00D1459E">
              <w:rPr>
                <w:rFonts w:asciiTheme="majorHAnsi" w:hAnsiTheme="majorHAnsi" w:cstheme="majorHAnsi"/>
                <w:sz w:val="24"/>
                <w:szCs w:val="24"/>
              </w:rPr>
              <w:t xml:space="preserve"> on society by one more </w:t>
            </w:r>
            <w:proofErr w:type="spellStart"/>
            <w:r w:rsidRPr="00D1459E">
              <w:rPr>
                <w:rFonts w:asciiTheme="majorHAnsi" w:hAnsiTheme="majorHAnsi" w:cstheme="majorHAnsi"/>
                <w:sz w:val="24"/>
                <w:szCs w:val="24"/>
              </w:rPr>
              <w:t>tonne</w:t>
            </w:r>
            <w:proofErr w:type="spellEnd"/>
            <w:r w:rsidRPr="00D1459E">
              <w:rPr>
                <w:rFonts w:asciiTheme="majorHAnsi" w:hAnsiTheme="majorHAnsi" w:cstheme="majorHAnsi"/>
                <w:sz w:val="24"/>
                <w:szCs w:val="24"/>
              </w:rPr>
              <w:t xml:space="preserve"> of CO</w:t>
            </w:r>
            <w:r w:rsidRPr="00D1459E">
              <w:rPr>
                <w:rFonts w:asciiTheme="majorHAnsi" w:hAnsiTheme="majorHAnsi" w:cstheme="majorHAnsi"/>
                <w:sz w:val="24"/>
                <w:szCs w:val="24"/>
                <w:vertAlign w:val="subscript"/>
              </w:rPr>
              <w:t>2</w:t>
            </w:r>
            <w:r w:rsidRPr="00D1459E">
              <w:rPr>
                <w:rFonts w:asciiTheme="majorHAnsi" w:hAnsiTheme="majorHAnsi" w:cstheme="majorHAnsi"/>
                <w:sz w:val="24"/>
                <w:szCs w:val="24"/>
              </w:rPr>
              <w:t>. This makes the SC-CO</w:t>
            </w:r>
            <w:r w:rsidRPr="00D1459E">
              <w:rPr>
                <w:rFonts w:asciiTheme="majorHAnsi" w:hAnsiTheme="majorHAnsi" w:cstheme="majorHAnsi"/>
                <w:sz w:val="24"/>
                <w:szCs w:val="24"/>
                <w:vertAlign w:val="subscript"/>
              </w:rPr>
              <w:t>2</w:t>
            </w:r>
            <w:r w:rsidRPr="00D1459E">
              <w:rPr>
                <w:rFonts w:asciiTheme="majorHAnsi" w:hAnsiTheme="majorHAnsi" w:cstheme="majorHAnsi"/>
                <w:sz w:val="24"/>
                <w:szCs w:val="24"/>
              </w:rPr>
              <w:t xml:space="preserve"> conceptually elegant: it directly identifies the </w:t>
            </w:r>
            <w:r w:rsidRPr="00D1459E">
              <w:rPr>
                <w:rFonts w:asciiTheme="majorHAnsi" w:hAnsiTheme="majorHAnsi" w:cstheme="majorHAnsi"/>
                <w:i/>
                <w:iCs/>
                <w:sz w:val="24"/>
                <w:szCs w:val="24"/>
              </w:rPr>
              <w:t>optimal carbon price or tax</w:t>
            </w:r>
            <w:r w:rsidRPr="00D1459E">
              <w:rPr>
                <w:rFonts w:asciiTheme="majorHAnsi" w:hAnsiTheme="majorHAnsi" w:cstheme="majorHAnsi"/>
                <w:sz w:val="24"/>
                <w:szCs w:val="24"/>
              </w:rPr>
              <w:t xml:space="preserve"> that would </w:t>
            </w:r>
            <w:proofErr w:type="spellStart"/>
            <w:r w:rsidRPr="00D1459E">
              <w:rPr>
                <w:rFonts w:asciiTheme="majorHAnsi" w:hAnsiTheme="majorHAnsi" w:cstheme="majorHAnsi"/>
                <w:sz w:val="24"/>
                <w:szCs w:val="24"/>
              </w:rPr>
              <w:t>internalise</w:t>
            </w:r>
            <w:proofErr w:type="spellEnd"/>
            <w:r w:rsidRPr="00D1459E">
              <w:rPr>
                <w:rFonts w:asciiTheme="majorHAnsi" w:hAnsiTheme="majorHAnsi" w:cstheme="majorHAnsi"/>
                <w:sz w:val="24"/>
                <w:szCs w:val="24"/>
              </w:rPr>
              <w:t xml:space="preserve"> this externality and align private incentives with social welfare.  </w:t>
            </w:r>
          </w:p>
          <w:p w14:paraId="2131A2E6" w14:textId="77777777" w:rsidR="00B91E2F" w:rsidRPr="00D1459E" w:rsidRDefault="00000000" w:rsidP="00D1459E">
            <w:pPr>
              <w:spacing w:after="240"/>
              <w:jc w:val="both"/>
              <w:rPr>
                <w:rFonts w:asciiTheme="majorHAnsi" w:hAnsiTheme="majorHAnsi" w:cstheme="majorHAnsi"/>
                <w:i/>
                <w:iCs/>
                <w:sz w:val="24"/>
                <w:szCs w:val="24"/>
              </w:rPr>
            </w:pPr>
            <w:r w:rsidRPr="00D1459E">
              <w:rPr>
                <w:rFonts w:asciiTheme="majorHAnsi" w:hAnsiTheme="majorHAnsi" w:cstheme="majorHAnsi"/>
                <w:sz w:val="24"/>
                <w:szCs w:val="24"/>
              </w:rPr>
              <w:t xml:space="preserve">Governments, particularly in the </w:t>
            </w:r>
            <w:r w:rsidRPr="00D1459E">
              <w:rPr>
                <w:rFonts w:asciiTheme="majorHAnsi" w:hAnsiTheme="majorHAnsi" w:cstheme="majorHAnsi"/>
                <w:b/>
                <w:bCs/>
                <w:sz w:val="24"/>
                <w:szCs w:val="24"/>
              </w:rPr>
              <w:t>United States</w:t>
            </w:r>
            <w:r w:rsidRPr="00D1459E">
              <w:rPr>
                <w:rFonts w:asciiTheme="majorHAnsi" w:hAnsiTheme="majorHAnsi" w:cstheme="majorHAnsi"/>
                <w:sz w:val="24"/>
                <w:szCs w:val="24"/>
              </w:rPr>
              <w:t>, have used the SC-CO₂ to guide climate regulations and evaluate the costs and benefits of emission-reduction policies.</w:t>
            </w:r>
          </w:p>
        </w:tc>
      </w:tr>
      <w:tr w:rsidR="00B91E2F" w:rsidRPr="00D1459E" w14:paraId="600908AB" w14:textId="77777777">
        <w:tc>
          <w:tcPr>
            <w:tcW w:w="9360" w:type="dxa"/>
            <w:shd w:val="clear" w:color="auto" w:fill="CFE2F3"/>
            <w:tcMar>
              <w:top w:w="100" w:type="dxa"/>
              <w:left w:w="100" w:type="dxa"/>
              <w:bottom w:w="100" w:type="dxa"/>
              <w:right w:w="100" w:type="dxa"/>
            </w:tcMar>
          </w:tcPr>
          <w:p w14:paraId="10977963" w14:textId="77777777" w:rsidR="00B91E2F" w:rsidRPr="00D1459E" w:rsidRDefault="00000000" w:rsidP="00D1459E">
            <w:pPr>
              <w:spacing w:before="240" w:after="240"/>
              <w:jc w:val="both"/>
              <w:rPr>
                <w:rFonts w:asciiTheme="majorHAnsi" w:hAnsiTheme="majorHAnsi" w:cstheme="majorHAnsi"/>
                <w:sz w:val="24"/>
                <w:szCs w:val="24"/>
                <w:vertAlign w:val="subscript"/>
              </w:rPr>
            </w:pPr>
            <w:r w:rsidRPr="00D1459E">
              <w:rPr>
                <w:rFonts w:asciiTheme="majorHAnsi" w:hAnsiTheme="majorHAnsi" w:cstheme="majorHAnsi"/>
                <w:b/>
                <w:bCs/>
                <w:sz w:val="24"/>
                <w:szCs w:val="24"/>
              </w:rPr>
              <w:t xml:space="preserve">Carbon Budget: </w:t>
            </w:r>
            <w:r w:rsidRPr="00D1459E">
              <w:rPr>
                <w:rFonts w:asciiTheme="majorHAnsi" w:hAnsiTheme="majorHAnsi" w:cstheme="majorHAnsi"/>
                <w:sz w:val="24"/>
                <w:szCs w:val="24"/>
              </w:rPr>
              <w:t>The total cumulative amount of CO₂ that can be emitted while keeping global warming below a specific temperature limit (for example, 1.5°C or 2°C). Carbon budgets are derived from climate science and are used to define the physical limits within which mitigation pathways must fit. Unlike the SC-CO</w:t>
            </w:r>
            <w:r w:rsidRPr="00D1459E">
              <w:rPr>
                <w:rFonts w:asciiTheme="majorHAnsi" w:hAnsiTheme="majorHAnsi" w:cstheme="majorHAnsi"/>
                <w:sz w:val="24"/>
                <w:szCs w:val="24"/>
                <w:vertAlign w:val="subscript"/>
              </w:rPr>
              <w:t>2</w:t>
            </w:r>
            <w:r w:rsidRPr="00D1459E">
              <w:rPr>
                <w:rFonts w:asciiTheme="majorHAnsi" w:hAnsiTheme="majorHAnsi" w:cstheme="majorHAnsi"/>
                <w:sz w:val="24"/>
                <w:szCs w:val="24"/>
              </w:rPr>
              <w:t xml:space="preserve">, however, they are normative rather than derived: the target temperature is set </w:t>
            </w:r>
            <w:r w:rsidRPr="00D1459E">
              <w:rPr>
                <w:rFonts w:asciiTheme="majorHAnsi" w:hAnsiTheme="majorHAnsi" w:cstheme="majorHAnsi"/>
                <w:i/>
                <w:iCs/>
                <w:sz w:val="24"/>
                <w:szCs w:val="24"/>
              </w:rPr>
              <w:t>outside</w:t>
            </w:r>
            <w:r w:rsidRPr="00D1459E">
              <w:rPr>
                <w:rFonts w:asciiTheme="majorHAnsi" w:hAnsiTheme="majorHAnsi" w:cstheme="majorHAnsi"/>
                <w:sz w:val="24"/>
                <w:szCs w:val="24"/>
              </w:rPr>
              <w:t xml:space="preserve"> the model, and the budget follows from that choice rather than from an economic </w:t>
            </w:r>
            <w:proofErr w:type="spellStart"/>
            <w:r w:rsidRPr="00D1459E">
              <w:rPr>
                <w:rFonts w:asciiTheme="majorHAnsi" w:hAnsiTheme="majorHAnsi" w:cstheme="majorHAnsi"/>
                <w:sz w:val="24"/>
                <w:szCs w:val="24"/>
              </w:rPr>
              <w:t>optimisation</w:t>
            </w:r>
            <w:proofErr w:type="spellEnd"/>
            <w:r w:rsidRPr="00D1459E">
              <w:rPr>
                <w:rFonts w:asciiTheme="majorHAnsi" w:hAnsiTheme="majorHAnsi" w:cstheme="majorHAnsi"/>
                <w:sz w:val="24"/>
                <w:szCs w:val="24"/>
              </w:rPr>
              <w:t>.</w:t>
            </w:r>
          </w:p>
          <w:p w14:paraId="1E189452"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The </w:t>
            </w:r>
            <w:r w:rsidRPr="00D1459E">
              <w:rPr>
                <w:rFonts w:asciiTheme="majorHAnsi" w:hAnsiTheme="majorHAnsi" w:cstheme="majorHAnsi"/>
                <w:b/>
                <w:bCs/>
                <w:sz w:val="24"/>
                <w:szCs w:val="24"/>
              </w:rPr>
              <w:t>European Union</w:t>
            </w:r>
            <w:r w:rsidRPr="00D1459E">
              <w:rPr>
                <w:rFonts w:asciiTheme="majorHAnsi" w:hAnsiTheme="majorHAnsi" w:cstheme="majorHAnsi"/>
                <w:sz w:val="24"/>
                <w:szCs w:val="24"/>
              </w:rPr>
              <w:t xml:space="preserve"> and many international </w:t>
            </w:r>
            <w:proofErr w:type="spellStart"/>
            <w:r w:rsidRPr="00D1459E">
              <w:rPr>
                <w:rFonts w:asciiTheme="majorHAnsi" w:hAnsiTheme="majorHAnsi" w:cstheme="majorHAnsi"/>
                <w:sz w:val="24"/>
                <w:szCs w:val="24"/>
              </w:rPr>
              <w:t>organisations</w:t>
            </w:r>
            <w:proofErr w:type="spellEnd"/>
            <w:r w:rsidRPr="00D1459E">
              <w:rPr>
                <w:rFonts w:asciiTheme="majorHAnsi" w:hAnsiTheme="majorHAnsi" w:cstheme="majorHAnsi"/>
                <w:sz w:val="24"/>
                <w:szCs w:val="24"/>
              </w:rPr>
              <w:t xml:space="preserve"> use carbon budgets as the starting point for setting net-zero targets.</w:t>
            </w:r>
          </w:p>
          <w:p w14:paraId="2FFEE0F6"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In principle, both approaches should yield the same emissions pathway for a given economy if based on consistent assumptions.</w:t>
            </w:r>
          </w:p>
        </w:tc>
      </w:tr>
      <w:tr w:rsidR="00B91E2F" w:rsidRPr="00D1459E" w14:paraId="3B48A7B3" w14:textId="77777777">
        <w:tc>
          <w:tcPr>
            <w:tcW w:w="9360" w:type="dxa"/>
            <w:shd w:val="clear" w:color="auto" w:fill="CFE2F3"/>
            <w:tcMar>
              <w:top w:w="100" w:type="dxa"/>
              <w:left w:w="100" w:type="dxa"/>
              <w:bottom w:w="100" w:type="dxa"/>
              <w:right w:w="100" w:type="dxa"/>
            </w:tcMar>
          </w:tcPr>
          <w:p w14:paraId="559E7704" w14:textId="77777777" w:rsidR="00B91E2F" w:rsidRPr="00D1459E" w:rsidRDefault="00000000" w:rsidP="00D1459E">
            <w:pPr>
              <w:spacing w:before="240" w:after="240"/>
              <w:jc w:val="both"/>
              <w:rPr>
                <w:rFonts w:asciiTheme="majorHAnsi" w:hAnsiTheme="majorHAnsi" w:cstheme="majorHAnsi"/>
                <w:i/>
                <w:iCs/>
                <w:sz w:val="24"/>
                <w:szCs w:val="24"/>
              </w:rPr>
            </w:pPr>
            <w:r w:rsidRPr="00D1459E">
              <w:rPr>
                <w:rFonts w:asciiTheme="majorHAnsi" w:hAnsiTheme="majorHAnsi" w:cstheme="majorHAnsi"/>
                <w:i/>
                <w:iCs/>
                <w:sz w:val="24"/>
                <w:szCs w:val="24"/>
              </w:rPr>
              <w:t>In short: the US approach prices the social cost of carbon; the European approach caps the total of emissions.</w:t>
            </w:r>
          </w:p>
        </w:tc>
      </w:tr>
    </w:tbl>
    <w:p w14:paraId="6D56504C" w14:textId="77777777" w:rsidR="00B91E2F" w:rsidRPr="00D1459E" w:rsidRDefault="00000000" w:rsidP="00D1459E">
      <w:pPr>
        <w:pStyle w:val="Heading3"/>
        <w:keepNext w:val="0"/>
        <w:keepLines w:val="0"/>
        <w:spacing w:before="280"/>
        <w:jc w:val="both"/>
        <w:rPr>
          <w:rFonts w:asciiTheme="majorHAnsi" w:hAnsiTheme="majorHAnsi" w:cstheme="majorHAnsi"/>
          <w:b/>
          <w:bCs/>
          <w:color w:val="000000"/>
          <w:sz w:val="24"/>
          <w:szCs w:val="24"/>
        </w:rPr>
      </w:pPr>
      <w:bookmarkStart w:id="3" w:name="_qtsd24mezr5l" w:colFirst="0" w:colLast="0"/>
      <w:bookmarkEnd w:id="3"/>
      <w:r w:rsidRPr="00D1459E">
        <w:rPr>
          <w:rFonts w:asciiTheme="majorHAnsi" w:hAnsiTheme="majorHAnsi" w:cstheme="majorHAnsi"/>
          <w:b/>
          <w:bCs/>
          <w:color w:val="000000"/>
          <w:sz w:val="24"/>
          <w:szCs w:val="24"/>
        </w:rPr>
        <w:lastRenderedPageBreak/>
        <w:t>Case Study 1: IAMs and the IPCC</w:t>
      </w:r>
    </w:p>
    <w:p w14:paraId="23535E62"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The </w:t>
      </w:r>
      <w:r w:rsidRPr="00D1459E">
        <w:rPr>
          <w:rFonts w:asciiTheme="majorHAnsi" w:hAnsiTheme="majorHAnsi" w:cstheme="majorHAnsi"/>
          <w:b/>
          <w:bCs/>
          <w:sz w:val="24"/>
          <w:szCs w:val="24"/>
        </w:rPr>
        <w:t>Intergovernmental Panel on Climate Change (IPCC)</w:t>
      </w:r>
      <w:r w:rsidRPr="00D1459E">
        <w:rPr>
          <w:rFonts w:asciiTheme="majorHAnsi" w:hAnsiTheme="majorHAnsi" w:cstheme="majorHAnsi"/>
          <w:sz w:val="24"/>
          <w:szCs w:val="24"/>
        </w:rPr>
        <w:t xml:space="preserve"> relies heavily on IAMs to translate physical-science goals—such as limiting warming to 1.5 °C—into coherent policy pathways.</w:t>
      </w:r>
      <w:r w:rsidRPr="00D1459E">
        <w:rPr>
          <w:rFonts w:asciiTheme="majorHAnsi" w:hAnsiTheme="majorHAnsi" w:cstheme="majorHAnsi"/>
          <w:sz w:val="24"/>
          <w:szCs w:val="24"/>
          <w:vertAlign w:val="superscript"/>
        </w:rPr>
        <w:footnoteReference w:id="4"/>
      </w:r>
    </w:p>
    <w:p w14:paraId="5058A94C"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For its </w:t>
      </w:r>
      <w:r w:rsidRPr="00D1459E">
        <w:rPr>
          <w:rFonts w:asciiTheme="majorHAnsi" w:hAnsiTheme="majorHAnsi" w:cstheme="majorHAnsi"/>
          <w:b/>
          <w:bCs/>
          <w:sz w:val="24"/>
          <w:szCs w:val="24"/>
        </w:rPr>
        <w:t>Sixth Assessment Report (2021–22)</w:t>
      </w:r>
      <w:r w:rsidRPr="00D1459E">
        <w:rPr>
          <w:rFonts w:asciiTheme="majorHAnsi" w:hAnsiTheme="majorHAnsi" w:cstheme="majorHAnsi"/>
          <w:sz w:val="24"/>
          <w:szCs w:val="24"/>
        </w:rPr>
        <w:t xml:space="preserve">, the IPCC compiled results from dozens of IAMs to produce hundreds of global scenarios. Each scenario linked assumptions about population, technology, and policy choices to projections of emissions, temperatures, and economic outcomes. The resulting </w:t>
      </w:r>
      <w:r w:rsidRPr="00D1459E">
        <w:rPr>
          <w:rFonts w:asciiTheme="majorHAnsi" w:hAnsiTheme="majorHAnsi" w:cstheme="majorHAnsi"/>
          <w:b/>
          <w:bCs/>
          <w:sz w:val="24"/>
          <w:szCs w:val="24"/>
        </w:rPr>
        <w:t>Shared Socioeconomic Pathways (SSPs)</w:t>
      </w:r>
      <w:r w:rsidRPr="00D1459E">
        <w:rPr>
          <w:rFonts w:asciiTheme="majorHAnsi" w:hAnsiTheme="majorHAnsi" w:cstheme="majorHAnsi"/>
          <w:sz w:val="24"/>
          <w:szCs w:val="24"/>
        </w:rPr>
        <w:t xml:space="preserve"> allow researchers to compare consistent storylines, such as a fossil-fuel-intensive world (</w:t>
      </w:r>
      <w:r w:rsidRPr="00D1459E">
        <w:rPr>
          <w:rFonts w:asciiTheme="majorHAnsi" w:hAnsiTheme="majorHAnsi" w:cstheme="majorHAnsi"/>
          <w:i/>
          <w:iCs/>
          <w:sz w:val="24"/>
          <w:szCs w:val="24"/>
        </w:rPr>
        <w:t>SSP5-8.5</w:t>
      </w:r>
      <w:r w:rsidRPr="00D1459E">
        <w:rPr>
          <w:rFonts w:asciiTheme="majorHAnsi" w:hAnsiTheme="majorHAnsi" w:cstheme="majorHAnsi"/>
          <w:sz w:val="24"/>
          <w:szCs w:val="24"/>
        </w:rPr>
        <w:t>) or a sustainability-focused one (</w:t>
      </w:r>
      <w:r w:rsidRPr="00D1459E">
        <w:rPr>
          <w:rFonts w:asciiTheme="majorHAnsi" w:hAnsiTheme="majorHAnsi" w:cstheme="majorHAnsi"/>
          <w:i/>
          <w:iCs/>
          <w:sz w:val="24"/>
          <w:szCs w:val="24"/>
        </w:rPr>
        <w:t>SSP1-1.9</w:t>
      </w:r>
      <w:r w:rsidRPr="00D1459E">
        <w:rPr>
          <w:rFonts w:asciiTheme="majorHAnsi" w:hAnsiTheme="majorHAnsi" w:cstheme="majorHAnsi"/>
          <w:sz w:val="24"/>
          <w:szCs w:val="24"/>
        </w:rPr>
        <w:t>).</w:t>
      </w:r>
      <w:r w:rsidRPr="00D1459E">
        <w:rPr>
          <w:rFonts w:asciiTheme="majorHAnsi" w:hAnsiTheme="majorHAnsi" w:cstheme="majorHAnsi"/>
          <w:sz w:val="24"/>
          <w:szCs w:val="24"/>
          <w:vertAlign w:val="superscript"/>
        </w:rPr>
        <w:footnoteReference w:id="5"/>
      </w:r>
    </w:p>
    <w:p w14:paraId="74639E53"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IAMs were not strictly necessary to calculate the </w:t>
      </w:r>
      <w:r w:rsidRPr="00D1459E">
        <w:rPr>
          <w:rFonts w:asciiTheme="majorHAnsi" w:hAnsiTheme="majorHAnsi" w:cstheme="majorHAnsi"/>
          <w:i/>
          <w:iCs/>
          <w:sz w:val="24"/>
          <w:szCs w:val="24"/>
        </w:rPr>
        <w:t>carbon budget</w:t>
      </w:r>
      <w:r w:rsidRPr="00D1459E">
        <w:rPr>
          <w:rFonts w:asciiTheme="majorHAnsi" w:hAnsiTheme="majorHAnsi" w:cstheme="majorHAnsi"/>
          <w:sz w:val="24"/>
          <w:szCs w:val="24"/>
        </w:rPr>
        <w:t xml:space="preserve"> for a given temperature target (since that relationship depends primarily on the physical link between emissions and warming) but they were essential for showing how that budget could be met through economic and technological transitions, even if the temperature target itself was set outside the model. In other words, IAMs translate the physics of carbon budgets into </w:t>
      </w:r>
      <w:r w:rsidRPr="00D1459E">
        <w:rPr>
          <w:rFonts w:asciiTheme="majorHAnsi" w:hAnsiTheme="majorHAnsi" w:cstheme="majorHAnsi"/>
          <w:b/>
          <w:bCs/>
          <w:sz w:val="24"/>
          <w:szCs w:val="24"/>
        </w:rPr>
        <w:t>feasible policy pathways</w:t>
      </w:r>
      <w:r w:rsidRPr="00D1459E">
        <w:rPr>
          <w:rFonts w:asciiTheme="majorHAnsi" w:hAnsiTheme="majorHAnsi" w:cstheme="majorHAnsi"/>
          <w:sz w:val="24"/>
          <w:szCs w:val="24"/>
        </w:rPr>
        <w:t>.</w:t>
      </w:r>
    </w:p>
    <w:p w14:paraId="2CBDCE90"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These model-based pathways informed the </w:t>
      </w:r>
      <w:r w:rsidRPr="00D1459E">
        <w:rPr>
          <w:rFonts w:asciiTheme="majorHAnsi" w:hAnsiTheme="majorHAnsi" w:cstheme="majorHAnsi"/>
          <w:b/>
          <w:bCs/>
          <w:sz w:val="24"/>
          <w:szCs w:val="24"/>
        </w:rPr>
        <w:t>2021 Glasgow Climate Pact</w:t>
      </w:r>
      <w:r w:rsidRPr="00D1459E">
        <w:rPr>
          <w:rFonts w:asciiTheme="majorHAnsi" w:hAnsiTheme="majorHAnsi" w:cstheme="majorHAnsi"/>
          <w:sz w:val="24"/>
          <w:szCs w:val="24"/>
        </w:rPr>
        <w:t xml:space="preserve"> and continue to guide the </w:t>
      </w:r>
      <w:r w:rsidRPr="00D1459E">
        <w:rPr>
          <w:rFonts w:asciiTheme="majorHAnsi" w:hAnsiTheme="majorHAnsi" w:cstheme="majorHAnsi"/>
          <w:b/>
          <w:bCs/>
          <w:sz w:val="24"/>
          <w:szCs w:val="24"/>
        </w:rPr>
        <w:t xml:space="preserve">Paris Agreement’s Global </w:t>
      </w:r>
      <w:proofErr w:type="spellStart"/>
      <w:r w:rsidRPr="00D1459E">
        <w:rPr>
          <w:rFonts w:asciiTheme="majorHAnsi" w:hAnsiTheme="majorHAnsi" w:cstheme="majorHAnsi"/>
          <w:b/>
          <w:bCs/>
          <w:sz w:val="24"/>
          <w:szCs w:val="24"/>
        </w:rPr>
        <w:t>Stocktake</w:t>
      </w:r>
      <w:proofErr w:type="spellEnd"/>
      <w:r w:rsidRPr="00D1459E">
        <w:rPr>
          <w:rFonts w:asciiTheme="majorHAnsi" w:hAnsiTheme="majorHAnsi" w:cstheme="majorHAnsi"/>
          <w:sz w:val="24"/>
          <w:szCs w:val="24"/>
        </w:rPr>
        <w:t xml:space="preserve"> process.</w:t>
      </w:r>
      <w:r w:rsidRPr="00D1459E">
        <w:rPr>
          <w:rFonts w:asciiTheme="majorHAnsi" w:hAnsiTheme="majorHAnsi" w:cstheme="majorHAnsi"/>
          <w:sz w:val="24"/>
          <w:szCs w:val="24"/>
          <w:vertAlign w:val="superscript"/>
        </w:rPr>
        <w:footnoteReference w:id="6"/>
      </w:r>
      <w:r w:rsidRPr="00D1459E">
        <w:rPr>
          <w:rFonts w:asciiTheme="majorHAnsi" w:hAnsiTheme="majorHAnsi" w:cstheme="majorHAnsi"/>
          <w:sz w:val="24"/>
          <w:szCs w:val="24"/>
        </w:rPr>
        <w:t xml:space="preserve"> While policymakers may not run IAMs themselves, the IPCC’s synthesis, which is powered by IAM results, underpins almost every national climate-strategy document published today.</w:t>
      </w:r>
    </w:p>
    <w:p w14:paraId="08AA4042" w14:textId="77777777" w:rsidR="00B91E2F" w:rsidRPr="00D1459E" w:rsidRDefault="00000000" w:rsidP="00D1459E">
      <w:pPr>
        <w:pStyle w:val="Heading3"/>
        <w:keepNext w:val="0"/>
        <w:keepLines w:val="0"/>
        <w:spacing w:before="280"/>
        <w:jc w:val="both"/>
        <w:rPr>
          <w:rFonts w:asciiTheme="majorHAnsi" w:hAnsiTheme="majorHAnsi" w:cstheme="majorHAnsi"/>
          <w:b/>
          <w:bCs/>
          <w:color w:val="000000"/>
          <w:sz w:val="24"/>
          <w:szCs w:val="24"/>
        </w:rPr>
      </w:pPr>
      <w:bookmarkStart w:id="4" w:name="_3k6gg73notdt" w:colFirst="0" w:colLast="0"/>
      <w:bookmarkEnd w:id="4"/>
      <w:r w:rsidRPr="00D1459E">
        <w:rPr>
          <w:rFonts w:asciiTheme="majorHAnsi" w:hAnsiTheme="majorHAnsi" w:cstheme="majorHAnsi"/>
          <w:b/>
          <w:bCs/>
          <w:color w:val="000000"/>
          <w:sz w:val="24"/>
          <w:szCs w:val="24"/>
        </w:rPr>
        <w:t>Where IAMs fall short</w:t>
      </w:r>
    </w:p>
    <w:p w14:paraId="066FE492"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IAMs are powerful, but they are not crystal balls. They simplify complex economic and natural systems and rely on strong assumptions.  By their nature, they require the use of historic data to create out of sample predictions about the future. </w:t>
      </w:r>
    </w:p>
    <w:p w14:paraId="0DA0582F"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One of the most contentious, which we will discuss in more detail in a later article, is the </w:t>
      </w:r>
      <w:r w:rsidRPr="00D1459E">
        <w:rPr>
          <w:rFonts w:asciiTheme="majorHAnsi" w:hAnsiTheme="majorHAnsi" w:cstheme="majorHAnsi"/>
          <w:b/>
          <w:bCs/>
          <w:sz w:val="24"/>
          <w:szCs w:val="24"/>
        </w:rPr>
        <w:t>discount rate</w:t>
      </w:r>
      <w:r w:rsidRPr="00D1459E">
        <w:rPr>
          <w:rFonts w:asciiTheme="majorHAnsi" w:hAnsiTheme="majorHAnsi" w:cstheme="majorHAnsi"/>
          <w:sz w:val="24"/>
          <w:szCs w:val="24"/>
        </w:rPr>
        <w:t>.  That is, the rate at which future damages are valued relative to today. A rate of 1 percent versus 3 percent can more than double the estimated SC-CO</w:t>
      </w:r>
      <w:r w:rsidRPr="00D1459E">
        <w:rPr>
          <w:rFonts w:asciiTheme="majorHAnsi" w:hAnsiTheme="majorHAnsi" w:cstheme="majorHAnsi"/>
          <w:sz w:val="24"/>
          <w:szCs w:val="24"/>
          <w:vertAlign w:val="subscript"/>
        </w:rPr>
        <w:t>2</w:t>
      </w:r>
      <w:r w:rsidRPr="00D1459E">
        <w:rPr>
          <w:rFonts w:asciiTheme="majorHAnsi" w:hAnsiTheme="majorHAnsi" w:cstheme="majorHAnsi"/>
          <w:sz w:val="24"/>
          <w:szCs w:val="24"/>
        </w:rPr>
        <w:t>.</w:t>
      </w:r>
    </w:p>
    <w:p w14:paraId="5B63BDD1"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This debate famously divided </w:t>
      </w:r>
      <w:r w:rsidRPr="00D1459E">
        <w:rPr>
          <w:rFonts w:asciiTheme="majorHAnsi" w:hAnsiTheme="majorHAnsi" w:cstheme="majorHAnsi"/>
          <w:b/>
          <w:bCs/>
          <w:sz w:val="24"/>
          <w:szCs w:val="24"/>
        </w:rPr>
        <w:t xml:space="preserve">William Nordhaus </w:t>
      </w:r>
      <w:r w:rsidRPr="00D1459E">
        <w:rPr>
          <w:rFonts w:asciiTheme="majorHAnsi" w:hAnsiTheme="majorHAnsi" w:cstheme="majorHAnsi"/>
          <w:sz w:val="24"/>
          <w:szCs w:val="24"/>
        </w:rPr>
        <w:t>and</w:t>
      </w:r>
      <w:r w:rsidRPr="00D1459E">
        <w:rPr>
          <w:rFonts w:asciiTheme="majorHAnsi" w:hAnsiTheme="majorHAnsi" w:cstheme="majorHAnsi"/>
          <w:b/>
          <w:bCs/>
          <w:sz w:val="24"/>
          <w:szCs w:val="24"/>
        </w:rPr>
        <w:t xml:space="preserve"> Nicholas Stern. </w:t>
      </w:r>
      <w:r w:rsidRPr="00D1459E">
        <w:rPr>
          <w:rFonts w:asciiTheme="majorHAnsi" w:hAnsiTheme="majorHAnsi" w:cstheme="majorHAnsi"/>
          <w:sz w:val="24"/>
          <w:szCs w:val="24"/>
        </w:rPr>
        <w:t xml:space="preserve">Early IAMs, including those of Nordhaus, used higher discount rates based on observed market </w:t>
      </w:r>
      <w:proofErr w:type="spellStart"/>
      <w:r w:rsidRPr="00D1459E">
        <w:rPr>
          <w:rFonts w:asciiTheme="majorHAnsi" w:hAnsiTheme="majorHAnsi" w:cstheme="majorHAnsi"/>
          <w:sz w:val="24"/>
          <w:szCs w:val="24"/>
        </w:rPr>
        <w:t>behaviour</w:t>
      </w:r>
      <w:proofErr w:type="spellEnd"/>
      <w:r w:rsidRPr="00D1459E">
        <w:rPr>
          <w:rFonts w:asciiTheme="majorHAnsi" w:hAnsiTheme="majorHAnsi" w:cstheme="majorHAnsi"/>
          <w:sz w:val="24"/>
          <w:szCs w:val="24"/>
        </w:rPr>
        <w:t xml:space="preserve"> that </w:t>
      </w:r>
      <w:proofErr w:type="spellStart"/>
      <w:r w:rsidRPr="00D1459E">
        <w:rPr>
          <w:rFonts w:asciiTheme="majorHAnsi" w:hAnsiTheme="majorHAnsi" w:cstheme="majorHAnsi"/>
          <w:sz w:val="24"/>
          <w:szCs w:val="24"/>
        </w:rPr>
        <w:t>favoured</w:t>
      </w:r>
      <w:proofErr w:type="spellEnd"/>
      <w:r w:rsidRPr="00D1459E">
        <w:rPr>
          <w:rFonts w:asciiTheme="majorHAnsi" w:hAnsiTheme="majorHAnsi" w:cstheme="majorHAnsi"/>
          <w:sz w:val="24"/>
          <w:szCs w:val="24"/>
        </w:rPr>
        <w:t xml:space="preserve"> gradual </w:t>
      </w:r>
      <w:proofErr w:type="spellStart"/>
      <w:r w:rsidRPr="00D1459E">
        <w:rPr>
          <w:rFonts w:asciiTheme="majorHAnsi" w:hAnsiTheme="majorHAnsi" w:cstheme="majorHAnsi"/>
          <w:sz w:val="24"/>
          <w:szCs w:val="24"/>
        </w:rPr>
        <w:t>decarbonisation</w:t>
      </w:r>
      <w:proofErr w:type="spellEnd"/>
      <w:r w:rsidRPr="00D1459E">
        <w:rPr>
          <w:rFonts w:asciiTheme="majorHAnsi" w:hAnsiTheme="majorHAnsi" w:cstheme="majorHAnsi"/>
          <w:sz w:val="24"/>
          <w:szCs w:val="24"/>
        </w:rPr>
        <w:t xml:space="preserve">. The debate intensified after Nicholas Stern’s 2006 </w:t>
      </w:r>
      <w:r w:rsidRPr="00D1459E">
        <w:rPr>
          <w:rFonts w:asciiTheme="majorHAnsi" w:hAnsiTheme="majorHAnsi" w:cstheme="majorHAnsi"/>
          <w:i/>
          <w:iCs/>
          <w:sz w:val="24"/>
          <w:szCs w:val="24"/>
        </w:rPr>
        <w:t>Stern Review,</w:t>
      </w:r>
      <w:r w:rsidRPr="00D1459E">
        <w:rPr>
          <w:rFonts w:asciiTheme="majorHAnsi" w:hAnsiTheme="majorHAnsi" w:cstheme="majorHAnsi"/>
          <w:sz w:val="24"/>
          <w:szCs w:val="24"/>
        </w:rPr>
        <w:t xml:space="preserve"> which </w:t>
      </w:r>
      <w:r w:rsidRPr="00D1459E">
        <w:rPr>
          <w:rFonts w:asciiTheme="majorHAnsi" w:hAnsiTheme="majorHAnsi" w:cstheme="majorHAnsi"/>
          <w:sz w:val="24"/>
          <w:szCs w:val="24"/>
        </w:rPr>
        <w:lastRenderedPageBreak/>
        <w:t>argued for much lower discount rates on ethical grounds, implying stronger immediate action. We will provide our two cents on this debate in later articles.</w:t>
      </w:r>
    </w:p>
    <w:p w14:paraId="1C75E45A"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More generally, the future is inherently uncertain. For example, when (or even </w:t>
      </w:r>
      <w:proofErr w:type="gramStart"/>
      <w:r w:rsidRPr="00D1459E">
        <w:rPr>
          <w:rFonts w:asciiTheme="majorHAnsi" w:hAnsiTheme="majorHAnsi" w:cstheme="majorHAnsi"/>
          <w:sz w:val="24"/>
          <w:szCs w:val="24"/>
        </w:rPr>
        <w:t>will)  as</w:t>
      </w:r>
      <w:proofErr w:type="gramEnd"/>
      <w:r w:rsidRPr="00D1459E">
        <w:rPr>
          <w:rFonts w:asciiTheme="majorHAnsi" w:hAnsiTheme="majorHAnsi" w:cstheme="majorHAnsi"/>
          <w:sz w:val="24"/>
          <w:szCs w:val="24"/>
        </w:rPr>
        <w:t xml:space="preserve">-yet affordable technologies become economical? Yet IAMs must make simplifying assumptions to proceed. As we will discuss in later articles, IAM outcomes should be seen as </w:t>
      </w:r>
      <w:r w:rsidRPr="00D1459E">
        <w:rPr>
          <w:rFonts w:asciiTheme="majorHAnsi" w:hAnsiTheme="majorHAnsi" w:cstheme="majorHAnsi"/>
          <w:b/>
          <w:bCs/>
          <w:sz w:val="24"/>
          <w:szCs w:val="24"/>
        </w:rPr>
        <w:t>informative scenarios</w:t>
      </w:r>
      <w:r w:rsidRPr="00D1459E">
        <w:rPr>
          <w:rFonts w:asciiTheme="majorHAnsi" w:hAnsiTheme="majorHAnsi" w:cstheme="majorHAnsi"/>
          <w:sz w:val="24"/>
          <w:szCs w:val="24"/>
        </w:rPr>
        <w:t xml:space="preserve">, not forecasts of the future. </w:t>
      </w:r>
    </w:p>
    <w:p w14:paraId="71C619F9"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Other articles in this series will look at how IAMs handle technological change, fairness, and risk of abrupt climate “tipping points”.</w:t>
      </w:r>
    </w:p>
    <w:p w14:paraId="57DF5805" w14:textId="77777777" w:rsidR="00B91E2F" w:rsidRPr="00D1459E" w:rsidRDefault="00000000" w:rsidP="00D1459E">
      <w:pPr>
        <w:pStyle w:val="Heading3"/>
        <w:keepNext w:val="0"/>
        <w:keepLines w:val="0"/>
        <w:spacing w:before="280"/>
        <w:jc w:val="both"/>
        <w:rPr>
          <w:rFonts w:asciiTheme="majorHAnsi" w:hAnsiTheme="majorHAnsi" w:cstheme="majorHAnsi"/>
          <w:b/>
          <w:bCs/>
          <w:color w:val="000000"/>
          <w:sz w:val="24"/>
          <w:szCs w:val="24"/>
        </w:rPr>
      </w:pPr>
      <w:bookmarkStart w:id="5" w:name="_7q6v1v1p5qyc" w:colFirst="0" w:colLast="0"/>
      <w:bookmarkEnd w:id="5"/>
      <w:r w:rsidRPr="00D1459E">
        <w:rPr>
          <w:rFonts w:asciiTheme="majorHAnsi" w:hAnsiTheme="majorHAnsi" w:cstheme="majorHAnsi"/>
          <w:b/>
          <w:bCs/>
          <w:color w:val="000000"/>
          <w:sz w:val="24"/>
          <w:szCs w:val="24"/>
        </w:rPr>
        <w:t>Case Study 2: The US Social Cost of Carbon</w:t>
      </w:r>
    </w:p>
    <w:p w14:paraId="2E40ADAE"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To see how assumptions and simplifications within IAMs can lead to vastly different estimates of the SC-CO2, consider the United States’ experience.</w:t>
      </w:r>
    </w:p>
    <w:p w14:paraId="0253BB57"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Since </w:t>
      </w:r>
      <w:r w:rsidRPr="00D1459E">
        <w:rPr>
          <w:rFonts w:asciiTheme="majorHAnsi" w:hAnsiTheme="majorHAnsi" w:cstheme="majorHAnsi"/>
          <w:b/>
          <w:bCs/>
          <w:sz w:val="24"/>
          <w:szCs w:val="24"/>
        </w:rPr>
        <w:t>2010</w:t>
      </w:r>
      <w:r w:rsidRPr="00D1459E">
        <w:rPr>
          <w:rFonts w:asciiTheme="majorHAnsi" w:hAnsiTheme="majorHAnsi" w:cstheme="majorHAnsi"/>
          <w:sz w:val="24"/>
          <w:szCs w:val="24"/>
        </w:rPr>
        <w:t>, the U.S. government has relied on three IAMs—</w:t>
      </w:r>
      <w:r w:rsidRPr="00D1459E">
        <w:rPr>
          <w:rFonts w:asciiTheme="majorHAnsi" w:hAnsiTheme="majorHAnsi" w:cstheme="majorHAnsi"/>
          <w:b/>
          <w:bCs/>
          <w:sz w:val="24"/>
          <w:szCs w:val="24"/>
        </w:rPr>
        <w:t>DICE</w:t>
      </w:r>
      <w:r w:rsidRPr="00D1459E">
        <w:rPr>
          <w:rFonts w:asciiTheme="majorHAnsi" w:hAnsiTheme="majorHAnsi" w:cstheme="majorHAnsi"/>
          <w:sz w:val="24"/>
          <w:szCs w:val="24"/>
        </w:rPr>
        <w:t xml:space="preserve">, </w:t>
      </w:r>
      <w:r w:rsidRPr="00D1459E">
        <w:rPr>
          <w:rFonts w:asciiTheme="majorHAnsi" w:hAnsiTheme="majorHAnsi" w:cstheme="majorHAnsi"/>
          <w:b/>
          <w:bCs/>
          <w:sz w:val="24"/>
          <w:szCs w:val="24"/>
        </w:rPr>
        <w:t>FUND</w:t>
      </w:r>
      <w:r w:rsidRPr="00D1459E">
        <w:rPr>
          <w:rFonts w:asciiTheme="majorHAnsi" w:hAnsiTheme="majorHAnsi" w:cstheme="majorHAnsi"/>
          <w:sz w:val="24"/>
          <w:szCs w:val="24"/>
        </w:rPr>
        <w:t xml:space="preserve">, and </w:t>
      </w:r>
      <w:r w:rsidRPr="00D1459E">
        <w:rPr>
          <w:rFonts w:asciiTheme="majorHAnsi" w:hAnsiTheme="majorHAnsi" w:cstheme="majorHAnsi"/>
          <w:b/>
          <w:bCs/>
          <w:sz w:val="24"/>
          <w:szCs w:val="24"/>
        </w:rPr>
        <w:t>PAGE</w:t>
      </w:r>
      <w:r w:rsidRPr="00D1459E">
        <w:rPr>
          <w:rFonts w:asciiTheme="majorHAnsi" w:hAnsiTheme="majorHAnsi" w:cstheme="majorHAnsi"/>
          <w:sz w:val="24"/>
          <w:szCs w:val="24"/>
        </w:rPr>
        <w:t>—to calculate this value. Each combines projections of population, GDP, emissions, and climate impacts, discounted over time.</w:t>
      </w:r>
    </w:p>
    <w:p w14:paraId="6146A4E3"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The SC-CO₂ guides cost–benefit analysis across US federal agencies, influencing regulations on vehicles, power plants, and industrial emissions. In principle it could serve as a whole-economy carbon-price equivalent, but in practice its use has been piecemeal and limited to certain regulatory instruments and excluding large swathes of federal spending.</w:t>
      </w:r>
      <w:r w:rsidRPr="00D1459E">
        <w:rPr>
          <w:rFonts w:asciiTheme="majorHAnsi" w:hAnsiTheme="majorHAnsi" w:cstheme="majorHAnsi"/>
          <w:sz w:val="24"/>
          <w:szCs w:val="24"/>
          <w:vertAlign w:val="superscript"/>
        </w:rPr>
        <w:footnoteReference w:id="7"/>
      </w:r>
    </w:p>
    <w:p w14:paraId="6E307FB7" w14:textId="77777777" w:rsidR="00B91E2F" w:rsidRPr="00D1459E" w:rsidRDefault="00000000" w:rsidP="00D1459E">
      <w:pPr>
        <w:numPr>
          <w:ilvl w:val="0"/>
          <w:numId w:val="2"/>
        </w:numPr>
        <w:spacing w:before="240"/>
        <w:jc w:val="both"/>
        <w:rPr>
          <w:rFonts w:asciiTheme="majorHAnsi" w:hAnsiTheme="majorHAnsi" w:cstheme="majorHAnsi"/>
          <w:sz w:val="24"/>
          <w:szCs w:val="24"/>
        </w:rPr>
      </w:pPr>
      <w:r w:rsidRPr="00D1459E">
        <w:rPr>
          <w:rFonts w:asciiTheme="majorHAnsi" w:hAnsiTheme="majorHAnsi" w:cstheme="majorHAnsi"/>
          <w:sz w:val="24"/>
          <w:szCs w:val="24"/>
        </w:rPr>
        <w:t xml:space="preserve">Under the </w:t>
      </w:r>
      <w:r w:rsidRPr="00D1459E">
        <w:rPr>
          <w:rFonts w:asciiTheme="majorHAnsi" w:hAnsiTheme="majorHAnsi" w:cstheme="majorHAnsi"/>
          <w:b/>
          <w:bCs/>
          <w:sz w:val="24"/>
          <w:szCs w:val="24"/>
        </w:rPr>
        <w:t>Obama administration (2009 to 2017)</w:t>
      </w:r>
      <w:r w:rsidRPr="00D1459E">
        <w:rPr>
          <w:rFonts w:asciiTheme="majorHAnsi" w:hAnsiTheme="majorHAnsi" w:cstheme="majorHAnsi"/>
          <w:sz w:val="24"/>
          <w:szCs w:val="24"/>
        </w:rPr>
        <w:t xml:space="preserve">: Established a government-wide Interagency Working Group and adopted a global damages approach with a 3% discount rate, yielding a central estimate of about </w:t>
      </w:r>
      <w:r w:rsidRPr="00D1459E">
        <w:rPr>
          <w:rFonts w:asciiTheme="majorHAnsi" w:hAnsiTheme="majorHAnsi" w:cstheme="majorHAnsi"/>
          <w:b/>
          <w:bCs/>
          <w:sz w:val="24"/>
          <w:szCs w:val="24"/>
        </w:rPr>
        <w:t>US $51/</w:t>
      </w:r>
      <w:proofErr w:type="spellStart"/>
      <w:r w:rsidRPr="00D1459E">
        <w:rPr>
          <w:rFonts w:asciiTheme="majorHAnsi" w:hAnsiTheme="majorHAnsi" w:cstheme="majorHAnsi"/>
          <w:b/>
          <w:bCs/>
          <w:sz w:val="24"/>
          <w:szCs w:val="24"/>
        </w:rPr>
        <w:t>tCO</w:t>
      </w:r>
      <w:proofErr w:type="spellEnd"/>
      <w:r w:rsidRPr="00D1459E">
        <w:rPr>
          <w:rFonts w:asciiTheme="majorHAnsi" w:hAnsiTheme="majorHAnsi" w:cstheme="majorHAnsi"/>
          <w:b/>
          <w:bCs/>
          <w:sz w:val="24"/>
          <w:szCs w:val="24"/>
        </w:rPr>
        <w:t>₂ (2020 USD)</w:t>
      </w:r>
      <w:r w:rsidRPr="00D1459E">
        <w:rPr>
          <w:rFonts w:asciiTheme="majorHAnsi" w:hAnsiTheme="majorHAnsi" w:cstheme="majorHAnsi"/>
          <w:sz w:val="24"/>
          <w:szCs w:val="24"/>
        </w:rPr>
        <w:t>.</w:t>
      </w:r>
      <w:r w:rsidRPr="00D1459E">
        <w:rPr>
          <w:rFonts w:asciiTheme="majorHAnsi" w:hAnsiTheme="majorHAnsi" w:cstheme="majorHAnsi"/>
          <w:sz w:val="24"/>
          <w:szCs w:val="24"/>
        </w:rPr>
        <w:br/>
      </w:r>
    </w:p>
    <w:p w14:paraId="55A08BDC" w14:textId="77777777" w:rsidR="00B91E2F" w:rsidRPr="00D1459E" w:rsidRDefault="00000000" w:rsidP="00D1459E">
      <w:pPr>
        <w:numPr>
          <w:ilvl w:val="0"/>
          <w:numId w:val="2"/>
        </w:numPr>
        <w:jc w:val="both"/>
        <w:rPr>
          <w:rFonts w:asciiTheme="majorHAnsi" w:hAnsiTheme="majorHAnsi" w:cstheme="majorHAnsi"/>
          <w:sz w:val="24"/>
          <w:szCs w:val="24"/>
        </w:rPr>
      </w:pPr>
      <w:r w:rsidRPr="00D1459E">
        <w:rPr>
          <w:rFonts w:asciiTheme="majorHAnsi" w:hAnsiTheme="majorHAnsi" w:cstheme="majorHAnsi"/>
          <w:sz w:val="24"/>
          <w:szCs w:val="24"/>
        </w:rPr>
        <w:t xml:space="preserve">The </w:t>
      </w:r>
      <w:r w:rsidRPr="00D1459E">
        <w:rPr>
          <w:rFonts w:asciiTheme="majorHAnsi" w:hAnsiTheme="majorHAnsi" w:cstheme="majorHAnsi"/>
          <w:b/>
          <w:bCs/>
          <w:sz w:val="24"/>
          <w:szCs w:val="24"/>
        </w:rPr>
        <w:t>first</w:t>
      </w:r>
      <w:r w:rsidRPr="00D1459E">
        <w:rPr>
          <w:rFonts w:asciiTheme="majorHAnsi" w:hAnsiTheme="majorHAnsi" w:cstheme="majorHAnsi"/>
          <w:sz w:val="24"/>
          <w:szCs w:val="24"/>
        </w:rPr>
        <w:t xml:space="preserve"> </w:t>
      </w:r>
      <w:r w:rsidRPr="00D1459E">
        <w:rPr>
          <w:rFonts w:asciiTheme="majorHAnsi" w:hAnsiTheme="majorHAnsi" w:cstheme="majorHAnsi"/>
          <w:b/>
          <w:bCs/>
          <w:sz w:val="24"/>
          <w:szCs w:val="24"/>
        </w:rPr>
        <w:t>Trump administration (2017–2021)</w:t>
      </w:r>
      <w:r w:rsidRPr="00D1459E">
        <w:rPr>
          <w:rFonts w:asciiTheme="majorHAnsi" w:hAnsiTheme="majorHAnsi" w:cstheme="majorHAnsi"/>
          <w:sz w:val="24"/>
          <w:szCs w:val="24"/>
        </w:rPr>
        <w:t xml:space="preserve">: Replaced global damages with domestic ones and raised the discount rate to 7%, cutting the value to roughly </w:t>
      </w:r>
      <w:r w:rsidRPr="00D1459E">
        <w:rPr>
          <w:rFonts w:asciiTheme="majorHAnsi" w:hAnsiTheme="majorHAnsi" w:cstheme="majorHAnsi"/>
          <w:b/>
          <w:bCs/>
          <w:sz w:val="24"/>
          <w:szCs w:val="24"/>
        </w:rPr>
        <w:t>US $1–7/</w:t>
      </w:r>
      <w:proofErr w:type="spellStart"/>
      <w:r w:rsidRPr="00D1459E">
        <w:rPr>
          <w:rFonts w:asciiTheme="majorHAnsi" w:hAnsiTheme="majorHAnsi" w:cstheme="majorHAnsi"/>
          <w:b/>
          <w:bCs/>
          <w:sz w:val="24"/>
          <w:szCs w:val="24"/>
        </w:rPr>
        <w:t>tCO</w:t>
      </w:r>
      <w:proofErr w:type="spellEnd"/>
      <w:r w:rsidRPr="00D1459E">
        <w:rPr>
          <w:rFonts w:asciiTheme="majorHAnsi" w:hAnsiTheme="majorHAnsi" w:cstheme="majorHAnsi"/>
          <w:b/>
          <w:bCs/>
          <w:sz w:val="24"/>
          <w:szCs w:val="24"/>
        </w:rPr>
        <w:t>₂</w:t>
      </w:r>
      <w:r w:rsidRPr="00D1459E">
        <w:rPr>
          <w:rFonts w:asciiTheme="majorHAnsi" w:hAnsiTheme="majorHAnsi" w:cstheme="majorHAnsi"/>
          <w:sz w:val="24"/>
          <w:szCs w:val="24"/>
        </w:rPr>
        <w:t>. This effectively weakened the economic case for climate regulations.</w:t>
      </w:r>
      <w:r w:rsidRPr="00D1459E">
        <w:rPr>
          <w:rFonts w:asciiTheme="majorHAnsi" w:hAnsiTheme="majorHAnsi" w:cstheme="majorHAnsi"/>
          <w:sz w:val="24"/>
          <w:szCs w:val="24"/>
        </w:rPr>
        <w:br/>
      </w:r>
    </w:p>
    <w:p w14:paraId="0B2264D8" w14:textId="77777777" w:rsidR="00B91E2F" w:rsidRPr="00D1459E" w:rsidRDefault="00000000" w:rsidP="00D1459E">
      <w:pPr>
        <w:numPr>
          <w:ilvl w:val="0"/>
          <w:numId w:val="2"/>
        </w:numPr>
        <w:jc w:val="both"/>
        <w:rPr>
          <w:rFonts w:asciiTheme="majorHAnsi" w:hAnsiTheme="majorHAnsi" w:cstheme="majorHAnsi"/>
          <w:sz w:val="24"/>
          <w:szCs w:val="24"/>
        </w:rPr>
      </w:pPr>
      <w:r w:rsidRPr="00D1459E">
        <w:rPr>
          <w:rFonts w:asciiTheme="majorHAnsi" w:hAnsiTheme="majorHAnsi" w:cstheme="majorHAnsi"/>
          <w:b/>
          <w:bCs/>
          <w:sz w:val="24"/>
          <w:szCs w:val="24"/>
        </w:rPr>
        <w:t>Biden administration (2021–2025):</w:t>
      </w:r>
      <w:r w:rsidRPr="00D1459E">
        <w:rPr>
          <w:rFonts w:asciiTheme="majorHAnsi" w:hAnsiTheme="majorHAnsi" w:cstheme="majorHAnsi"/>
          <w:sz w:val="24"/>
          <w:szCs w:val="24"/>
        </w:rPr>
        <w:t xml:space="preserve"> Reinstated global damages and lower discounting, restoring the </w:t>
      </w:r>
      <w:r w:rsidRPr="00D1459E">
        <w:rPr>
          <w:rFonts w:asciiTheme="majorHAnsi" w:hAnsiTheme="majorHAnsi" w:cstheme="majorHAnsi"/>
          <w:b/>
          <w:bCs/>
          <w:sz w:val="24"/>
          <w:szCs w:val="24"/>
        </w:rPr>
        <w:t>US $51/</w:t>
      </w:r>
      <w:proofErr w:type="spellStart"/>
      <w:r w:rsidRPr="00D1459E">
        <w:rPr>
          <w:rFonts w:asciiTheme="majorHAnsi" w:hAnsiTheme="majorHAnsi" w:cstheme="majorHAnsi"/>
          <w:b/>
          <w:bCs/>
          <w:sz w:val="24"/>
          <w:szCs w:val="24"/>
        </w:rPr>
        <w:t>tCO</w:t>
      </w:r>
      <w:proofErr w:type="spellEnd"/>
      <w:r w:rsidRPr="00D1459E">
        <w:rPr>
          <w:rFonts w:asciiTheme="majorHAnsi" w:hAnsiTheme="majorHAnsi" w:cstheme="majorHAnsi"/>
          <w:b/>
          <w:bCs/>
          <w:sz w:val="24"/>
          <w:szCs w:val="24"/>
        </w:rPr>
        <w:t>₂</w:t>
      </w:r>
      <w:r w:rsidRPr="00D1459E">
        <w:rPr>
          <w:rFonts w:asciiTheme="majorHAnsi" w:hAnsiTheme="majorHAnsi" w:cstheme="majorHAnsi"/>
          <w:sz w:val="24"/>
          <w:szCs w:val="24"/>
        </w:rPr>
        <w:t xml:space="preserve"> estimate in 2021 and proposing a revised </w:t>
      </w:r>
      <w:r w:rsidRPr="00D1459E">
        <w:rPr>
          <w:rFonts w:asciiTheme="majorHAnsi" w:hAnsiTheme="majorHAnsi" w:cstheme="majorHAnsi"/>
          <w:b/>
          <w:bCs/>
          <w:sz w:val="24"/>
          <w:szCs w:val="24"/>
        </w:rPr>
        <w:t>US $190/</w:t>
      </w:r>
      <w:proofErr w:type="spellStart"/>
      <w:r w:rsidRPr="00D1459E">
        <w:rPr>
          <w:rFonts w:asciiTheme="majorHAnsi" w:hAnsiTheme="majorHAnsi" w:cstheme="majorHAnsi"/>
          <w:b/>
          <w:bCs/>
          <w:sz w:val="24"/>
          <w:szCs w:val="24"/>
        </w:rPr>
        <w:t>tCO</w:t>
      </w:r>
      <w:proofErr w:type="spellEnd"/>
      <w:r w:rsidRPr="00D1459E">
        <w:rPr>
          <w:rFonts w:asciiTheme="majorHAnsi" w:hAnsiTheme="majorHAnsi" w:cstheme="majorHAnsi"/>
          <w:b/>
          <w:bCs/>
          <w:sz w:val="24"/>
          <w:szCs w:val="24"/>
        </w:rPr>
        <w:t>₂</w:t>
      </w:r>
      <w:r w:rsidRPr="00D1459E">
        <w:rPr>
          <w:rFonts w:asciiTheme="majorHAnsi" w:hAnsiTheme="majorHAnsi" w:cstheme="majorHAnsi"/>
          <w:sz w:val="24"/>
          <w:szCs w:val="24"/>
        </w:rPr>
        <w:t xml:space="preserve"> in 2023 draft guidance, reflecting updated science and a 2% discount rate.</w:t>
      </w:r>
      <w:r w:rsidRPr="00D1459E">
        <w:rPr>
          <w:rFonts w:asciiTheme="majorHAnsi" w:hAnsiTheme="majorHAnsi" w:cstheme="majorHAnsi"/>
          <w:sz w:val="24"/>
          <w:szCs w:val="24"/>
          <w:vertAlign w:val="superscript"/>
        </w:rPr>
        <w:footnoteReference w:id="8"/>
      </w:r>
    </w:p>
    <w:p w14:paraId="418377DA" w14:textId="77777777" w:rsidR="00B91E2F" w:rsidRPr="00D1459E" w:rsidRDefault="00000000" w:rsidP="00D1459E">
      <w:pPr>
        <w:numPr>
          <w:ilvl w:val="0"/>
          <w:numId w:val="2"/>
        </w:numPr>
        <w:spacing w:before="240"/>
        <w:jc w:val="both"/>
        <w:rPr>
          <w:rFonts w:asciiTheme="majorHAnsi" w:hAnsiTheme="majorHAnsi" w:cstheme="majorHAnsi"/>
          <w:sz w:val="24"/>
          <w:szCs w:val="24"/>
        </w:rPr>
      </w:pPr>
      <w:r w:rsidRPr="00D1459E">
        <w:rPr>
          <w:rFonts w:asciiTheme="majorHAnsi" w:hAnsiTheme="majorHAnsi" w:cstheme="majorHAnsi"/>
          <w:sz w:val="24"/>
          <w:szCs w:val="24"/>
        </w:rPr>
        <w:lastRenderedPageBreak/>
        <w:t>The</w:t>
      </w:r>
      <w:r w:rsidRPr="00D1459E">
        <w:rPr>
          <w:rFonts w:asciiTheme="majorHAnsi" w:hAnsiTheme="majorHAnsi" w:cstheme="majorHAnsi"/>
          <w:b/>
          <w:bCs/>
          <w:sz w:val="24"/>
          <w:szCs w:val="24"/>
        </w:rPr>
        <w:t xml:space="preserve"> second Trump administration (2017–2021): </w:t>
      </w:r>
      <w:r w:rsidRPr="00D1459E">
        <w:rPr>
          <w:rFonts w:asciiTheme="majorHAnsi" w:hAnsiTheme="majorHAnsi" w:cstheme="majorHAnsi"/>
          <w:sz w:val="24"/>
          <w:szCs w:val="24"/>
        </w:rPr>
        <w:t xml:space="preserve">Has </w:t>
      </w:r>
      <w:proofErr w:type="spellStart"/>
      <w:r w:rsidRPr="00D1459E">
        <w:rPr>
          <w:rFonts w:asciiTheme="majorHAnsi" w:hAnsiTheme="majorHAnsi" w:cstheme="majorHAnsi"/>
          <w:sz w:val="24"/>
          <w:szCs w:val="24"/>
        </w:rPr>
        <w:t>signalled</w:t>
      </w:r>
      <w:proofErr w:type="spellEnd"/>
      <w:r w:rsidRPr="00D1459E">
        <w:rPr>
          <w:rFonts w:asciiTheme="majorHAnsi" w:hAnsiTheme="majorHAnsi" w:cstheme="majorHAnsi"/>
          <w:sz w:val="24"/>
          <w:szCs w:val="24"/>
        </w:rPr>
        <w:t xml:space="preserve"> a return to higher discount rates and narrowed scope, while many federal agencies have </w:t>
      </w:r>
      <w:proofErr w:type="spellStart"/>
      <w:r w:rsidRPr="00D1459E">
        <w:rPr>
          <w:rFonts w:asciiTheme="majorHAnsi" w:hAnsiTheme="majorHAnsi" w:cstheme="majorHAnsi"/>
          <w:sz w:val="24"/>
          <w:szCs w:val="24"/>
        </w:rPr>
        <w:t>de-emphasised</w:t>
      </w:r>
      <w:proofErr w:type="spellEnd"/>
      <w:r w:rsidRPr="00D1459E">
        <w:rPr>
          <w:rFonts w:asciiTheme="majorHAnsi" w:hAnsiTheme="majorHAnsi" w:cstheme="majorHAnsi"/>
          <w:sz w:val="24"/>
          <w:szCs w:val="24"/>
        </w:rPr>
        <w:t xml:space="preserve"> or ignored the SC-CO₂ altogether, leaving its influence largely dormant.</w:t>
      </w:r>
    </w:p>
    <w:p w14:paraId="6B99C7AD" w14:textId="77777777" w:rsidR="00B91E2F" w:rsidRPr="00D1459E" w:rsidRDefault="00000000" w:rsidP="00D1459E">
      <w:pPr>
        <w:spacing w:before="240"/>
        <w:jc w:val="both"/>
        <w:rPr>
          <w:rFonts w:asciiTheme="majorHAnsi" w:hAnsiTheme="majorHAnsi" w:cstheme="majorHAnsi"/>
          <w:sz w:val="24"/>
          <w:szCs w:val="24"/>
        </w:rPr>
      </w:pPr>
      <w:r w:rsidRPr="00D1459E">
        <w:rPr>
          <w:rFonts w:asciiTheme="majorHAnsi" w:hAnsiTheme="majorHAnsi" w:cstheme="majorHAnsi"/>
          <w:noProof/>
          <w:sz w:val="24"/>
          <w:szCs w:val="24"/>
        </w:rPr>
        <w:drawing>
          <wp:inline distT="114300" distB="114300" distL="114300" distR="114300" wp14:anchorId="3048B6FC" wp14:editId="70A09C70">
            <wp:extent cx="5943600" cy="2336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336800"/>
                    </a:xfrm>
                    <a:prstGeom prst="rect">
                      <a:avLst/>
                    </a:prstGeom>
                    <a:ln/>
                  </pic:spPr>
                </pic:pic>
              </a:graphicData>
            </a:graphic>
          </wp:inline>
        </w:drawing>
      </w:r>
    </w:p>
    <w:p w14:paraId="058E1DC1"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This debate highlights how normative choices—in this case, about discounting—can shift IAM results by an order of magnitude. Despite controversy, for example related to discount rates, IAM-based SC-CO₂ estimates remain the </w:t>
      </w:r>
      <w:r w:rsidRPr="00D1459E">
        <w:rPr>
          <w:rFonts w:asciiTheme="majorHAnsi" w:hAnsiTheme="majorHAnsi" w:cstheme="majorHAnsi"/>
          <w:b/>
          <w:bCs/>
          <w:sz w:val="24"/>
          <w:szCs w:val="24"/>
        </w:rPr>
        <w:t>cornerstone of climate-policy appraisal</w:t>
      </w:r>
      <w:r w:rsidRPr="00D1459E">
        <w:rPr>
          <w:rFonts w:asciiTheme="majorHAnsi" w:hAnsiTheme="majorHAnsi" w:cstheme="majorHAnsi"/>
          <w:sz w:val="24"/>
          <w:szCs w:val="24"/>
        </w:rPr>
        <w:t xml:space="preserve"> in the United States and a benchmark for many other governments.</w:t>
      </w:r>
    </w:p>
    <w:p w14:paraId="381829CA" w14:textId="77777777" w:rsidR="00B91E2F" w:rsidRPr="00D1459E" w:rsidRDefault="00000000" w:rsidP="00D1459E">
      <w:pPr>
        <w:pStyle w:val="Heading3"/>
        <w:keepNext w:val="0"/>
        <w:keepLines w:val="0"/>
        <w:spacing w:before="280"/>
        <w:jc w:val="both"/>
        <w:rPr>
          <w:rFonts w:asciiTheme="majorHAnsi" w:hAnsiTheme="majorHAnsi" w:cstheme="majorHAnsi"/>
          <w:b/>
          <w:bCs/>
          <w:color w:val="000000"/>
          <w:sz w:val="24"/>
          <w:szCs w:val="24"/>
        </w:rPr>
      </w:pPr>
      <w:bookmarkStart w:id="6" w:name="_gy5y8mu0u08w" w:colFirst="0" w:colLast="0"/>
      <w:bookmarkEnd w:id="6"/>
      <w:r w:rsidRPr="00D1459E">
        <w:rPr>
          <w:rFonts w:asciiTheme="majorHAnsi" w:hAnsiTheme="majorHAnsi" w:cstheme="majorHAnsi"/>
          <w:b/>
          <w:bCs/>
          <w:color w:val="000000"/>
          <w:sz w:val="24"/>
          <w:szCs w:val="24"/>
        </w:rPr>
        <w:t>How to read IAM results</w:t>
      </w:r>
    </w:p>
    <w:p w14:paraId="1207F876"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The best way to interpret IAMs is as </w:t>
      </w:r>
      <w:r w:rsidRPr="00D1459E">
        <w:rPr>
          <w:rFonts w:asciiTheme="majorHAnsi" w:hAnsiTheme="majorHAnsi" w:cstheme="majorHAnsi"/>
          <w:i/>
          <w:iCs/>
          <w:sz w:val="24"/>
          <w:szCs w:val="24"/>
        </w:rPr>
        <w:t>“what-if”</w:t>
      </w:r>
      <w:r w:rsidRPr="00D1459E">
        <w:rPr>
          <w:rFonts w:asciiTheme="majorHAnsi" w:hAnsiTheme="majorHAnsi" w:cstheme="majorHAnsi"/>
          <w:sz w:val="24"/>
          <w:szCs w:val="24"/>
        </w:rPr>
        <w:t xml:space="preserve"> scenarios rather than forecasts. They explore possible futures under different assumptions about technology, policy, and human </w:t>
      </w:r>
      <w:proofErr w:type="spellStart"/>
      <w:r w:rsidRPr="00D1459E">
        <w:rPr>
          <w:rFonts w:asciiTheme="majorHAnsi" w:hAnsiTheme="majorHAnsi" w:cstheme="majorHAnsi"/>
          <w:sz w:val="24"/>
          <w:szCs w:val="24"/>
        </w:rPr>
        <w:t>behaviour</w:t>
      </w:r>
      <w:proofErr w:type="spellEnd"/>
      <w:r w:rsidRPr="00D1459E">
        <w:rPr>
          <w:rFonts w:asciiTheme="majorHAnsi" w:hAnsiTheme="majorHAnsi" w:cstheme="majorHAnsi"/>
          <w:sz w:val="24"/>
          <w:szCs w:val="24"/>
        </w:rPr>
        <w:t xml:space="preserve">, rather than providing predictions of what </w:t>
      </w:r>
      <w:r w:rsidRPr="00D1459E">
        <w:rPr>
          <w:rFonts w:asciiTheme="majorHAnsi" w:hAnsiTheme="majorHAnsi" w:cstheme="majorHAnsi"/>
          <w:i/>
          <w:iCs/>
          <w:sz w:val="24"/>
          <w:szCs w:val="24"/>
        </w:rPr>
        <w:t>will</w:t>
      </w:r>
      <w:r w:rsidRPr="00D1459E">
        <w:rPr>
          <w:rFonts w:asciiTheme="majorHAnsi" w:hAnsiTheme="majorHAnsi" w:cstheme="majorHAnsi"/>
          <w:sz w:val="24"/>
          <w:szCs w:val="24"/>
        </w:rPr>
        <w:t xml:space="preserve"> happen. The results depend heavily on the parameters chosen, such as the discount rate or IPCC scenario chosen. Understanding these inputs is essential before drawing conclusions from any model outcome.</w:t>
      </w:r>
    </w:p>
    <w:p w14:paraId="56D384AF"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 xml:space="preserve">Focus on </w:t>
      </w:r>
      <w:r w:rsidRPr="00D1459E">
        <w:rPr>
          <w:rFonts w:asciiTheme="majorHAnsi" w:hAnsiTheme="majorHAnsi" w:cstheme="majorHAnsi"/>
          <w:b/>
          <w:bCs/>
          <w:sz w:val="24"/>
          <w:szCs w:val="24"/>
        </w:rPr>
        <w:t>direction and magnitude</w:t>
      </w:r>
      <w:r w:rsidRPr="00D1459E">
        <w:rPr>
          <w:rFonts w:asciiTheme="majorHAnsi" w:hAnsiTheme="majorHAnsi" w:cstheme="majorHAnsi"/>
          <w:sz w:val="24"/>
          <w:szCs w:val="24"/>
        </w:rPr>
        <w:t>, not precision. For example, one IAM may suggest an SC-CO</w:t>
      </w:r>
      <w:r w:rsidRPr="00D1459E">
        <w:rPr>
          <w:rFonts w:asciiTheme="majorHAnsi" w:hAnsiTheme="majorHAnsi" w:cstheme="majorHAnsi"/>
          <w:sz w:val="24"/>
          <w:szCs w:val="24"/>
          <w:vertAlign w:val="subscript"/>
        </w:rPr>
        <w:t>2</w:t>
      </w:r>
      <w:r w:rsidRPr="00D1459E">
        <w:rPr>
          <w:rFonts w:asciiTheme="majorHAnsi" w:hAnsiTheme="majorHAnsi" w:cstheme="majorHAnsi"/>
          <w:sz w:val="24"/>
          <w:szCs w:val="24"/>
        </w:rPr>
        <w:t xml:space="preserve"> of $80/</w:t>
      </w:r>
      <w:proofErr w:type="spellStart"/>
      <w:r w:rsidRPr="00D1459E">
        <w:rPr>
          <w:rFonts w:asciiTheme="majorHAnsi" w:hAnsiTheme="majorHAnsi" w:cstheme="majorHAnsi"/>
          <w:sz w:val="24"/>
          <w:szCs w:val="24"/>
        </w:rPr>
        <w:t>tCO</w:t>
      </w:r>
      <w:proofErr w:type="spellEnd"/>
      <w:r w:rsidRPr="00D1459E">
        <w:rPr>
          <w:rFonts w:asciiTheme="majorHAnsi" w:hAnsiTheme="majorHAnsi" w:cstheme="majorHAnsi"/>
          <w:sz w:val="24"/>
          <w:szCs w:val="24"/>
        </w:rPr>
        <w:t>₂ and another $120/</w:t>
      </w:r>
      <w:proofErr w:type="spellStart"/>
      <w:r w:rsidRPr="00D1459E">
        <w:rPr>
          <w:rFonts w:asciiTheme="majorHAnsi" w:hAnsiTheme="majorHAnsi" w:cstheme="majorHAnsi"/>
          <w:sz w:val="24"/>
          <w:szCs w:val="24"/>
        </w:rPr>
        <w:t>tCO</w:t>
      </w:r>
      <w:proofErr w:type="spellEnd"/>
      <w:r w:rsidRPr="00D1459E">
        <w:rPr>
          <w:rFonts w:asciiTheme="majorHAnsi" w:hAnsiTheme="majorHAnsi" w:cstheme="majorHAnsi"/>
          <w:sz w:val="24"/>
          <w:szCs w:val="24"/>
        </w:rPr>
        <w:t xml:space="preserve">₂, but both agree on the core message: the carbon prices and taxes currently levied are too low. Similarly, across IPCC scenarios, faster </w:t>
      </w:r>
      <w:proofErr w:type="spellStart"/>
      <w:r w:rsidRPr="00D1459E">
        <w:rPr>
          <w:rFonts w:asciiTheme="majorHAnsi" w:hAnsiTheme="majorHAnsi" w:cstheme="majorHAnsi"/>
          <w:sz w:val="24"/>
          <w:szCs w:val="24"/>
        </w:rPr>
        <w:t>decarbonisation</w:t>
      </w:r>
      <w:proofErr w:type="spellEnd"/>
      <w:r w:rsidRPr="00D1459E">
        <w:rPr>
          <w:rFonts w:asciiTheme="majorHAnsi" w:hAnsiTheme="majorHAnsi" w:cstheme="majorHAnsi"/>
          <w:sz w:val="24"/>
          <w:szCs w:val="24"/>
        </w:rPr>
        <w:t xml:space="preserve"> almost always lowers long-term damages, even if short-term costs rise.</w:t>
      </w:r>
    </w:p>
    <w:p w14:paraId="0B9601CC" w14:textId="77777777" w:rsidR="00B91E2F" w:rsidRPr="00D1459E" w:rsidRDefault="00000000" w:rsidP="00D1459E">
      <w:pPr>
        <w:pStyle w:val="Heading3"/>
        <w:keepNext w:val="0"/>
        <w:keepLines w:val="0"/>
        <w:spacing w:before="280"/>
        <w:jc w:val="both"/>
        <w:rPr>
          <w:rFonts w:asciiTheme="majorHAnsi" w:hAnsiTheme="majorHAnsi" w:cstheme="majorHAnsi"/>
          <w:b/>
          <w:bCs/>
          <w:color w:val="000000"/>
          <w:sz w:val="24"/>
          <w:szCs w:val="24"/>
        </w:rPr>
      </w:pPr>
      <w:bookmarkStart w:id="7" w:name="_5dx8tmcqbli0" w:colFirst="0" w:colLast="0"/>
      <w:bookmarkEnd w:id="7"/>
      <w:r w:rsidRPr="00D1459E">
        <w:rPr>
          <w:rFonts w:asciiTheme="majorHAnsi" w:hAnsiTheme="majorHAnsi" w:cstheme="majorHAnsi"/>
          <w:b/>
          <w:bCs/>
          <w:color w:val="000000"/>
          <w:sz w:val="24"/>
          <w:szCs w:val="24"/>
        </w:rPr>
        <w:t>Why you should care</w:t>
      </w:r>
    </w:p>
    <w:p w14:paraId="14CFA8E2"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If you have ever read that a carbon tax should be $100/</w:t>
      </w:r>
      <w:proofErr w:type="spellStart"/>
      <w:r w:rsidRPr="00D1459E">
        <w:rPr>
          <w:rFonts w:asciiTheme="majorHAnsi" w:hAnsiTheme="majorHAnsi" w:cstheme="majorHAnsi"/>
          <w:sz w:val="24"/>
          <w:szCs w:val="24"/>
        </w:rPr>
        <w:t>tCO</w:t>
      </w:r>
      <w:proofErr w:type="spellEnd"/>
      <w:r w:rsidRPr="00D1459E">
        <w:rPr>
          <w:rFonts w:asciiTheme="majorHAnsi" w:hAnsiTheme="majorHAnsi" w:cstheme="majorHAnsi"/>
          <w:sz w:val="24"/>
          <w:szCs w:val="24"/>
        </w:rPr>
        <w:t xml:space="preserve">₂, or that global emissions must fall by half in the next decade, the chances are those figures came from an IAM. IAMs act as the translation layer between </w:t>
      </w:r>
      <w:r w:rsidRPr="00D1459E">
        <w:rPr>
          <w:rFonts w:asciiTheme="majorHAnsi" w:hAnsiTheme="majorHAnsi" w:cstheme="majorHAnsi"/>
          <w:b/>
          <w:bCs/>
          <w:sz w:val="24"/>
          <w:szCs w:val="24"/>
        </w:rPr>
        <w:t>scientific warnings and macroeconomic decision-making</w:t>
      </w:r>
      <w:r w:rsidRPr="00D1459E">
        <w:rPr>
          <w:rFonts w:asciiTheme="majorHAnsi" w:hAnsiTheme="majorHAnsi" w:cstheme="majorHAnsi"/>
          <w:sz w:val="24"/>
          <w:szCs w:val="24"/>
        </w:rPr>
        <w:t>.</w:t>
      </w:r>
    </w:p>
    <w:p w14:paraId="7D8E9B4C"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lastRenderedPageBreak/>
        <w:t>They matter because they shape the very policies and debates that determine our collective future. Understanding their role, and their limits, is essential for anyone working in climate policy.</w:t>
      </w:r>
    </w:p>
    <w:p w14:paraId="62E8B176" w14:textId="77777777" w:rsidR="00B91E2F" w:rsidRPr="00D1459E" w:rsidRDefault="00000000" w:rsidP="00D1459E">
      <w:pPr>
        <w:pStyle w:val="Heading3"/>
        <w:keepNext w:val="0"/>
        <w:keepLines w:val="0"/>
        <w:spacing w:before="280"/>
        <w:jc w:val="both"/>
        <w:rPr>
          <w:rFonts w:asciiTheme="majorHAnsi" w:hAnsiTheme="majorHAnsi" w:cstheme="majorHAnsi"/>
          <w:b/>
          <w:bCs/>
          <w:color w:val="000000"/>
          <w:sz w:val="24"/>
          <w:szCs w:val="24"/>
        </w:rPr>
      </w:pPr>
      <w:bookmarkStart w:id="8" w:name="_af8g5htsadsv" w:colFirst="0" w:colLast="0"/>
      <w:bookmarkEnd w:id="8"/>
      <w:r w:rsidRPr="00D1459E">
        <w:rPr>
          <w:rFonts w:asciiTheme="majorHAnsi" w:hAnsiTheme="majorHAnsi" w:cstheme="majorHAnsi"/>
          <w:b/>
          <w:bCs/>
          <w:color w:val="000000"/>
          <w:sz w:val="24"/>
          <w:szCs w:val="24"/>
        </w:rPr>
        <w:t>Takeaway</w:t>
      </w:r>
    </w:p>
    <w:p w14:paraId="13ECE9A4"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IAMs are not perfect, but they are indispensable. They help us see the consequences of today’s choices, compare policy tools, and chart possible paths towards a stable climate.</w:t>
      </w:r>
    </w:p>
    <w:p w14:paraId="02CBF007"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From the IPCC’s global scenarios to the US government’s shifting SC-CO</w:t>
      </w:r>
      <w:r w:rsidRPr="00D1459E">
        <w:rPr>
          <w:rFonts w:asciiTheme="majorHAnsi" w:hAnsiTheme="majorHAnsi" w:cstheme="majorHAnsi"/>
          <w:sz w:val="24"/>
          <w:szCs w:val="24"/>
          <w:vertAlign w:val="subscript"/>
        </w:rPr>
        <w:t>2</w:t>
      </w:r>
      <w:r w:rsidRPr="00D1459E">
        <w:rPr>
          <w:rFonts w:asciiTheme="majorHAnsi" w:hAnsiTheme="majorHAnsi" w:cstheme="majorHAnsi"/>
          <w:sz w:val="24"/>
          <w:szCs w:val="24"/>
        </w:rPr>
        <w:t xml:space="preserve"> estimates, IAMs illustrate how assumptions about economics and ethics translate directly into policy outcomes. </w:t>
      </w:r>
    </w:p>
    <w:p w14:paraId="64C3FFE7" w14:textId="77777777" w:rsidR="00B91E2F" w:rsidRPr="00D1459E" w:rsidRDefault="00000000" w:rsidP="00D1459E">
      <w:pPr>
        <w:spacing w:before="240" w:after="240"/>
        <w:jc w:val="both"/>
        <w:rPr>
          <w:rFonts w:asciiTheme="majorHAnsi" w:hAnsiTheme="majorHAnsi" w:cstheme="majorHAnsi"/>
          <w:sz w:val="24"/>
          <w:szCs w:val="24"/>
        </w:rPr>
      </w:pPr>
      <w:r w:rsidRPr="00D1459E">
        <w:rPr>
          <w:rFonts w:asciiTheme="majorHAnsi" w:hAnsiTheme="majorHAnsi" w:cstheme="majorHAnsi"/>
          <w:sz w:val="24"/>
          <w:szCs w:val="24"/>
        </w:rPr>
        <w:t>This article opens our series on Integrated Assessment Models. In future articles, we will explore how these models measure climate damages, weigh fairness, value the future, and imagine the technologies that could shape a low-carbon world.</w:t>
      </w:r>
    </w:p>
    <w:sectPr w:rsidR="00B91E2F" w:rsidRPr="00D1459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FEDEB" w14:textId="77777777" w:rsidR="00D2016A" w:rsidRDefault="00D2016A">
      <w:pPr>
        <w:spacing w:line="240" w:lineRule="auto"/>
      </w:pPr>
      <w:r>
        <w:separator/>
      </w:r>
    </w:p>
  </w:endnote>
  <w:endnote w:type="continuationSeparator" w:id="0">
    <w:p w14:paraId="2DAD01DA" w14:textId="77777777" w:rsidR="00D2016A" w:rsidRDefault="00D201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8969A77-E66A-1D4C-BCE1-C6458C831905}"/>
  </w:font>
  <w:font w:name="Arial">
    <w:panose1 w:val="020B0604020202020204"/>
    <w:charset w:val="00"/>
    <w:family w:val="swiss"/>
    <w:pitch w:val="variable"/>
    <w:sig w:usb0="E0002AFF" w:usb1="C0007843" w:usb2="00000009" w:usb3="00000000" w:csb0="000001FF" w:csb1="00000000"/>
    <w:embedRegular r:id="rId2" w:fontKey="{4025A7F7-C9A5-3843-A3FD-A45ADC8BD37A}"/>
    <w:embedBold r:id="rId3" w:fontKey="{3EFC59A0-A674-9341-8C25-0CD48E2B1D27}"/>
    <w:embedItalic r:id="rId4" w:fontKey="{735A8006-AF33-A74A-89FD-8E2C2101696F}"/>
  </w:font>
  <w:font w:name="Calibri">
    <w:panose1 w:val="020F0502020204030204"/>
    <w:charset w:val="00"/>
    <w:family w:val="swiss"/>
    <w:pitch w:val="variable"/>
    <w:sig w:usb0="E0002AFF" w:usb1="C000247B" w:usb2="00000009" w:usb3="00000000" w:csb0="000001FF" w:csb1="00000000"/>
    <w:embedRegular r:id="rId5" w:fontKey="{41B0CB44-5FBD-6240-9460-7266B884613A}"/>
    <w:embedBold r:id="rId6" w:fontKey="{16FFBB4A-526C-524A-A930-AF38816BCB2B}"/>
    <w:embedItalic r:id="rId7" w:fontKey="{7C192049-2BDF-1341-ADBF-03A8BD58D2CB}"/>
  </w:font>
  <w:font w:name="Cambria">
    <w:panose1 w:val="02040503050406030204"/>
    <w:charset w:val="00"/>
    <w:family w:val="roman"/>
    <w:pitch w:val="variable"/>
    <w:sig w:usb0="E00002FF" w:usb1="400004FF" w:usb2="00000000" w:usb3="00000000" w:csb0="0000019F" w:csb1="00000000"/>
    <w:embedRegular r:id="rId8" w:fontKey="{5289DDCA-1ECE-6545-BD9A-E916804F46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5BDEB" w14:textId="77777777" w:rsidR="00D2016A" w:rsidRDefault="00D2016A">
      <w:pPr>
        <w:spacing w:line="240" w:lineRule="auto"/>
      </w:pPr>
      <w:r>
        <w:separator/>
      </w:r>
    </w:p>
  </w:footnote>
  <w:footnote w:type="continuationSeparator" w:id="0">
    <w:p w14:paraId="6D750E91" w14:textId="77777777" w:rsidR="00D2016A" w:rsidRDefault="00D2016A">
      <w:pPr>
        <w:spacing w:line="240" w:lineRule="auto"/>
      </w:pPr>
      <w:r>
        <w:continuationSeparator/>
      </w:r>
    </w:p>
  </w:footnote>
  <w:footnote w:id="1">
    <w:p w14:paraId="266CD7FF" w14:textId="77777777" w:rsidR="00B91E2F" w:rsidRDefault="00000000">
      <w:pPr>
        <w:spacing w:line="240" w:lineRule="auto"/>
        <w:rPr>
          <w:sz w:val="16"/>
          <w:szCs w:val="16"/>
        </w:rPr>
      </w:pPr>
      <w:r>
        <w:rPr>
          <w:vertAlign w:val="superscript"/>
        </w:rPr>
        <w:footnoteRef/>
      </w:r>
      <w:r>
        <w:rPr>
          <w:sz w:val="20"/>
          <w:szCs w:val="20"/>
        </w:rPr>
        <w:t xml:space="preserve"> </w:t>
      </w:r>
      <w:r>
        <w:rPr>
          <w:sz w:val="20"/>
          <w:szCs w:val="20"/>
        </w:rPr>
        <w:tab/>
      </w:r>
      <w:r>
        <w:rPr>
          <w:i/>
          <w:iCs/>
          <w:sz w:val="18"/>
          <w:szCs w:val="18"/>
        </w:rPr>
        <w:t>Nordhaus, W. D. (1975). “Can We Control Carbon Dioxide?” Cowles Foundation Discussion Paper No. 443.</w:t>
      </w:r>
    </w:p>
  </w:footnote>
  <w:footnote w:id="2">
    <w:p w14:paraId="38A71214" w14:textId="77777777" w:rsidR="00B91E2F" w:rsidRDefault="00000000">
      <w:pPr>
        <w:spacing w:line="240" w:lineRule="auto"/>
        <w:rPr>
          <w:sz w:val="16"/>
          <w:szCs w:val="16"/>
        </w:rPr>
      </w:pPr>
      <w:r>
        <w:rPr>
          <w:vertAlign w:val="superscript"/>
        </w:rPr>
        <w:footnoteRef/>
      </w:r>
      <w:r>
        <w:rPr>
          <w:sz w:val="20"/>
          <w:szCs w:val="20"/>
        </w:rPr>
        <w:t xml:space="preserve"> </w:t>
      </w:r>
      <w:r>
        <w:rPr>
          <w:sz w:val="20"/>
          <w:szCs w:val="20"/>
        </w:rPr>
        <w:tab/>
      </w:r>
      <w:r>
        <w:rPr>
          <w:i/>
          <w:iCs/>
          <w:sz w:val="18"/>
          <w:szCs w:val="18"/>
        </w:rPr>
        <w:t>Nordhaus, W. D. (2018). “Projections and Uncertainties about Climate Change in an Era of Minimal Climate Policies.”</w:t>
      </w:r>
    </w:p>
  </w:footnote>
  <w:footnote w:id="3">
    <w:p w14:paraId="7C6D5BD5" w14:textId="77777777" w:rsidR="00B91E2F" w:rsidRDefault="00000000">
      <w:pPr>
        <w:spacing w:line="240" w:lineRule="auto"/>
        <w:rPr>
          <w:sz w:val="20"/>
          <w:szCs w:val="20"/>
        </w:rPr>
      </w:pPr>
      <w:r>
        <w:rPr>
          <w:vertAlign w:val="superscript"/>
        </w:rPr>
        <w:footnoteRef/>
      </w:r>
      <w:r>
        <w:rPr>
          <w:sz w:val="20"/>
          <w:szCs w:val="20"/>
        </w:rPr>
        <w:t xml:space="preserve"> </w:t>
      </w:r>
      <w:r>
        <w:rPr>
          <w:sz w:val="20"/>
          <w:szCs w:val="20"/>
        </w:rPr>
        <w:tab/>
        <w:t xml:space="preserve">Do not worry if you are unaware of carbon budgets either, they are </w:t>
      </w:r>
      <w:proofErr w:type="gramStart"/>
      <w:r>
        <w:rPr>
          <w:sz w:val="20"/>
          <w:szCs w:val="20"/>
        </w:rPr>
        <w:t>also  explained</w:t>
      </w:r>
      <w:proofErr w:type="gramEnd"/>
      <w:r>
        <w:rPr>
          <w:sz w:val="20"/>
          <w:szCs w:val="20"/>
        </w:rPr>
        <w:t xml:space="preserve"> in the helpful box below.</w:t>
      </w:r>
    </w:p>
  </w:footnote>
  <w:footnote w:id="4">
    <w:p w14:paraId="0A690107" w14:textId="77777777" w:rsidR="00B91E2F" w:rsidRDefault="00000000">
      <w:pPr>
        <w:spacing w:line="240" w:lineRule="auto"/>
        <w:rPr>
          <w:i/>
          <w:iCs/>
          <w:sz w:val="16"/>
          <w:szCs w:val="16"/>
        </w:rPr>
      </w:pPr>
      <w:r>
        <w:rPr>
          <w:vertAlign w:val="superscript"/>
        </w:rPr>
        <w:footnoteRef/>
      </w:r>
      <w:r>
        <w:rPr>
          <w:sz w:val="20"/>
          <w:szCs w:val="20"/>
        </w:rPr>
        <w:t xml:space="preserve"> </w:t>
      </w:r>
      <w:r>
        <w:rPr>
          <w:sz w:val="20"/>
          <w:szCs w:val="20"/>
        </w:rPr>
        <w:tab/>
      </w:r>
      <w:r>
        <w:rPr>
          <w:i/>
          <w:iCs/>
          <w:sz w:val="18"/>
          <w:szCs w:val="18"/>
        </w:rPr>
        <w:t>IPCC (2021). “Sixth Assessment Report: Mitigation of Climate Change.”</w:t>
      </w:r>
    </w:p>
  </w:footnote>
  <w:footnote w:id="5">
    <w:p w14:paraId="79592CC0" w14:textId="77777777" w:rsidR="00B91E2F" w:rsidRDefault="00000000">
      <w:pPr>
        <w:spacing w:line="240" w:lineRule="auto"/>
        <w:rPr>
          <w:sz w:val="16"/>
          <w:szCs w:val="16"/>
        </w:rPr>
      </w:pPr>
      <w:r>
        <w:rPr>
          <w:vertAlign w:val="superscript"/>
        </w:rPr>
        <w:footnoteRef/>
      </w:r>
      <w:r>
        <w:rPr>
          <w:sz w:val="20"/>
          <w:szCs w:val="20"/>
        </w:rPr>
        <w:t xml:space="preserve"> </w:t>
      </w:r>
      <w:r>
        <w:rPr>
          <w:sz w:val="20"/>
          <w:szCs w:val="20"/>
        </w:rPr>
        <w:tab/>
      </w:r>
      <w:r>
        <w:rPr>
          <w:sz w:val="18"/>
          <w:szCs w:val="18"/>
        </w:rPr>
        <w:t>These SSPs are widely used across climate literature, providing a common baseline that makes it easier to understand what drives differences in model results.</w:t>
      </w:r>
    </w:p>
  </w:footnote>
  <w:footnote w:id="6">
    <w:p w14:paraId="6D16BF54" w14:textId="77777777" w:rsidR="00B91E2F" w:rsidRDefault="00000000">
      <w:pPr>
        <w:spacing w:line="240" w:lineRule="auto"/>
        <w:rPr>
          <w:sz w:val="16"/>
          <w:szCs w:val="16"/>
        </w:rPr>
      </w:pPr>
      <w:r>
        <w:rPr>
          <w:vertAlign w:val="superscript"/>
        </w:rPr>
        <w:footnoteRef/>
      </w:r>
      <w:r>
        <w:rPr>
          <w:sz w:val="20"/>
          <w:szCs w:val="20"/>
        </w:rPr>
        <w:t xml:space="preserve"> </w:t>
      </w:r>
      <w:r>
        <w:rPr>
          <w:sz w:val="20"/>
          <w:szCs w:val="20"/>
        </w:rPr>
        <w:tab/>
      </w:r>
      <w:r>
        <w:rPr>
          <w:i/>
          <w:iCs/>
          <w:sz w:val="18"/>
          <w:szCs w:val="18"/>
        </w:rPr>
        <w:t>UNFCCC (2021). “Glasgow Climate Pact.”</w:t>
      </w:r>
    </w:p>
  </w:footnote>
  <w:footnote w:id="7">
    <w:p w14:paraId="1CB6E3D7" w14:textId="77777777" w:rsidR="00B91E2F" w:rsidRDefault="00000000">
      <w:pPr>
        <w:spacing w:line="240" w:lineRule="auto"/>
        <w:rPr>
          <w:sz w:val="18"/>
          <w:szCs w:val="18"/>
        </w:rPr>
      </w:pPr>
      <w:r>
        <w:rPr>
          <w:vertAlign w:val="superscript"/>
        </w:rPr>
        <w:footnoteRef/>
      </w:r>
      <w:r>
        <w:rPr>
          <w:sz w:val="20"/>
          <w:szCs w:val="20"/>
        </w:rPr>
        <w:t xml:space="preserve"> </w:t>
      </w:r>
      <w:r>
        <w:rPr>
          <w:sz w:val="20"/>
          <w:szCs w:val="20"/>
        </w:rPr>
        <w:tab/>
      </w:r>
      <w:r>
        <w:rPr>
          <w:sz w:val="18"/>
          <w:szCs w:val="18"/>
        </w:rPr>
        <w:t>Some major federal agencies, including parts of the Department of Defense, have not systematically incorporated the SC-CO₂ in their analyses, meaning the metric has never been applied across the full US economy.</w:t>
      </w:r>
    </w:p>
  </w:footnote>
  <w:footnote w:id="8">
    <w:p w14:paraId="2F4F7F5B" w14:textId="77777777" w:rsidR="00B91E2F" w:rsidRDefault="00000000">
      <w:pPr>
        <w:spacing w:line="240" w:lineRule="auto"/>
        <w:rPr>
          <w:sz w:val="16"/>
          <w:szCs w:val="16"/>
        </w:rPr>
      </w:pPr>
      <w:r>
        <w:rPr>
          <w:vertAlign w:val="superscript"/>
        </w:rPr>
        <w:footnoteRef/>
      </w:r>
      <w:r>
        <w:rPr>
          <w:sz w:val="20"/>
          <w:szCs w:val="20"/>
        </w:rPr>
        <w:t xml:space="preserve"> </w:t>
      </w:r>
      <w:r>
        <w:rPr>
          <w:sz w:val="20"/>
          <w:szCs w:val="20"/>
        </w:rPr>
        <w:tab/>
      </w:r>
      <w:r>
        <w:rPr>
          <w:i/>
          <w:iCs/>
          <w:sz w:val="18"/>
          <w:szCs w:val="18"/>
        </w:rPr>
        <w:t>U.S. Environmental Protection Agency (2023). “Technical Support Document: Social Cost of Greenhouse Gases.”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A0E"/>
    <w:multiLevelType w:val="multilevel"/>
    <w:tmpl w:val="29609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880DDD"/>
    <w:multiLevelType w:val="multilevel"/>
    <w:tmpl w:val="284A03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7AF380B"/>
    <w:multiLevelType w:val="multilevel"/>
    <w:tmpl w:val="6812F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7D638E"/>
    <w:multiLevelType w:val="multilevel"/>
    <w:tmpl w:val="1C508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3160893">
    <w:abstractNumId w:val="0"/>
  </w:num>
  <w:num w:numId="2" w16cid:durableId="572279334">
    <w:abstractNumId w:val="3"/>
  </w:num>
  <w:num w:numId="3" w16cid:durableId="893392270">
    <w:abstractNumId w:val="1"/>
  </w:num>
  <w:num w:numId="4" w16cid:durableId="1271552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E2F"/>
    <w:rsid w:val="006340DA"/>
    <w:rsid w:val="00922BFB"/>
    <w:rsid w:val="00B91E2F"/>
    <w:rsid w:val="00CA41D8"/>
    <w:rsid w:val="00D1459E"/>
    <w:rsid w:val="00D20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05DE5F"/>
  <w15:docId w15:val="{4F236C7D-E75E-F142-B629-76A3716D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1793</Words>
  <Characters>10225</Characters>
  <Application>Microsoft Office Word</Application>
  <DocSecurity>0</DocSecurity>
  <Lines>85</Lines>
  <Paragraphs>23</Paragraphs>
  <ScaleCrop>false</ScaleCrop>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3</cp:revision>
  <dcterms:created xsi:type="dcterms:W3CDTF">2025-12-02T09:30:00Z</dcterms:created>
  <dcterms:modified xsi:type="dcterms:W3CDTF">2025-12-02T09:41:00Z</dcterms:modified>
</cp:coreProperties>
</file>