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F37A2" w14:textId="77777777" w:rsidR="000139C7" w:rsidRDefault="002D77B1">
      <w:pPr>
        <w:spacing w:before="2400" w:after="600"/>
        <w:jc w:val="center"/>
      </w:pPr>
      <w:r>
        <w:rPr>
          <w:b/>
          <w:bCs/>
          <w:color w:val="1F3864"/>
          <w:sz w:val="40"/>
          <w:szCs w:val="40"/>
        </w:rPr>
        <w:t>Econometría, aprendizaje automático y redes neuronales para portafolios de acciones colombianas: una evaluación fuera de muestra con protocolo preregistrado</w:t>
      </w:r>
    </w:p>
    <w:p w14:paraId="5C862E32" w14:textId="77777777" w:rsidR="000139C7" w:rsidRDefault="002D77B1">
      <w:pPr>
        <w:spacing w:after="160"/>
        <w:jc w:val="center"/>
      </w:pPr>
      <w:r>
        <w:rPr>
          <w:b/>
          <w:bCs/>
          <w:sz w:val="26"/>
          <w:szCs w:val="26"/>
        </w:rPr>
        <w:t>Autores:</w:t>
      </w:r>
      <w:r>
        <w:rPr>
          <w:sz w:val="26"/>
          <w:szCs w:val="26"/>
        </w:rPr>
        <w:t xml:space="preserve"> Gabriel Aldana, Harold Fúneme, Laura Rodríguez, Juan Roa</w:t>
      </w:r>
    </w:p>
    <w:p w14:paraId="22A72708" w14:textId="77777777" w:rsidR="000139C7" w:rsidRDefault="002D77B1">
      <w:pPr>
        <w:spacing w:after="160"/>
        <w:jc w:val="center"/>
      </w:pPr>
      <w:r>
        <w:rPr>
          <w:b/>
          <w:bCs/>
          <w:sz w:val="26"/>
          <w:szCs w:val="26"/>
        </w:rPr>
        <w:t>Institución:</w:t>
      </w:r>
      <w:r>
        <w:rPr>
          <w:sz w:val="26"/>
          <w:szCs w:val="26"/>
        </w:rPr>
        <w:t xml:space="preserve"> Universidad Santo Tomás</w:t>
      </w:r>
    </w:p>
    <w:p w14:paraId="019122D8" w14:textId="77777777" w:rsidR="000139C7" w:rsidRDefault="002D77B1">
      <w:pPr>
        <w:spacing w:after="160"/>
        <w:jc w:val="center"/>
      </w:pPr>
      <w:r>
        <w:rPr>
          <w:b/>
          <w:bCs/>
          <w:sz w:val="26"/>
          <w:szCs w:val="26"/>
        </w:rPr>
        <w:t>Fecha:</w:t>
      </w:r>
      <w:r>
        <w:rPr>
          <w:sz w:val="26"/>
          <w:szCs w:val="26"/>
        </w:rPr>
        <w:t xml:space="preserve"> octubre de 2026</w:t>
      </w:r>
    </w:p>
    <w:p w14:paraId="37F27024" w14:textId="77777777" w:rsidR="000139C7" w:rsidRDefault="002D77B1">
      <w:r>
        <w:br w:type="page"/>
      </w:r>
    </w:p>
    <w:p w14:paraId="6AC4ED58" w14:textId="77777777" w:rsidR="000139C7" w:rsidRDefault="002D77B1">
      <w:pPr>
        <w:pStyle w:val="Ttulo1"/>
      </w:pPr>
      <w:bookmarkStart w:id="0" w:name="_Toc242139788"/>
      <w:r>
        <w:lastRenderedPageBreak/>
        <w:t>Resumen</w:t>
      </w:r>
      <w:bookmarkEnd w:id="0"/>
    </w:p>
    <w:p w14:paraId="1FD22D3A" w14:textId="77777777" w:rsidR="000139C7" w:rsidRDefault="002D77B1">
      <w:pPr>
        <w:spacing w:after="160"/>
        <w:jc w:val="both"/>
      </w:pPr>
      <w:r>
        <w:t>Este trabajo compara modelos econométricos (ARIMA, GARCH, HAR), de aprendizaje automático (Random Forest, Gradient Boosting) y redes neuronales (MLP, LSTM) para pronosticar el rendimiento y la volatilidad de nueve acciones de la Bolsa de Valores de Colombia entre enero de 2020 y septiembre de 2026. También compara la estimación del riesgo (VaR y Expected Shortfall) y la construcción de portafolios con restricciones realistas. La muestra se dividió en el tiempo: entrenamiento (2020–2023), validación (2024) y</w:t>
      </w:r>
      <w:r>
        <w:t xml:space="preserve"> un bloque de prueba (enero de 2025 a septiembre de 2026, 426 días) que permaneció cerrado hasta una única evaluación final. Las hipótesis de esa evaluación se registraron por escrito antes de abrirlo. Las comparaciones usan pruebas de Diebold-Mariano, el Model Confidence Set y la corrección de Holm por comparaciones múltiples.</w:t>
      </w:r>
    </w:p>
    <w:p w14:paraId="5D1DBF0B" w14:textId="77777777" w:rsidR="000139C7" w:rsidRDefault="002D77B1">
      <w:pPr>
        <w:spacing w:after="160"/>
        <w:jc w:val="both"/>
      </w:pPr>
      <w:r>
        <w:t>Cuatro resultados se sostienen fuera de muestra y en el análisis de robustez:</w:t>
      </w:r>
    </w:p>
    <w:p w14:paraId="5936F2F2" w14:textId="77777777" w:rsidR="000139C7" w:rsidRDefault="002D77B1">
      <w:pPr>
        <w:spacing w:after="80"/>
        <w:ind w:left="567" w:hanging="340"/>
      </w:pPr>
      <w:r>
        <w:t>1. Ningún modelo pronostica el rendimiento diario mejor que la media histórica de forma estadísticamente distinguible, incluidas las redes neuronales.</w:t>
      </w:r>
    </w:p>
    <w:p w14:paraId="2C13019C" w14:textId="77777777" w:rsidR="000139C7" w:rsidRDefault="002D77B1">
      <w:pPr>
        <w:spacing w:after="80"/>
        <w:ind w:left="567" w:hanging="340"/>
      </w:pPr>
      <w:r>
        <w:t>2. La volatilidad sí es predecible, y el promedio móvil exponencial (EWMA), que no estima parámetros, es una referencia difícil de superar.</w:t>
      </w:r>
    </w:p>
    <w:p w14:paraId="70319363" w14:textId="77777777" w:rsidR="000139C7" w:rsidRDefault="002D77B1">
      <w:pPr>
        <w:spacing w:after="80"/>
        <w:ind w:left="567" w:hanging="340"/>
      </w:pPr>
      <w:r>
        <w:t>3. El VaR con distribución normal subestima el riesgo extremo; la simulación histórica filtrada está mejor calibrada.</w:t>
      </w:r>
    </w:p>
    <w:p w14:paraId="38F03560" w14:textId="77777777" w:rsidR="000139C7" w:rsidRDefault="002D77B1">
      <w:pPr>
        <w:spacing w:after="80"/>
        <w:ind w:left="567" w:hanging="340"/>
      </w:pPr>
      <w:r>
        <w:t xml:space="preserve">4. </w:t>
      </w:r>
      <w:r>
        <w:t>Ninguna estrategia de optimización basada en riesgo supera al portafolio de igual ponderación (1/N).</w:t>
      </w:r>
    </w:p>
    <w:p w14:paraId="723C79D1" w14:textId="77777777" w:rsidR="000139C7" w:rsidRDefault="002D77B1">
      <w:pPr>
        <w:spacing w:after="160"/>
        <w:jc w:val="both"/>
      </w:pPr>
      <w:r>
        <w:t>El proyecto incluye además un agente de IA de investigación que consulta y verifica el trabajo sin poder modificarlo. En una evaluación con siete escenarios cumplió 38 de 39 criterios, sin ninguna violación de integridad.</w:t>
      </w:r>
    </w:p>
    <w:p w14:paraId="151A2DE1" w14:textId="77777777" w:rsidR="000139C7" w:rsidRDefault="002D77B1">
      <w:pPr>
        <w:spacing w:after="160"/>
        <w:jc w:val="both"/>
      </w:pPr>
      <w:r>
        <w:rPr>
          <w:b/>
          <w:bCs/>
        </w:rPr>
        <w:t>Palabras clave:</w:t>
      </w:r>
      <w:r>
        <w:t xml:space="preserve"> mercado colombiano, pronóstico de volatilidad, redes neuronales, Value at Risk, portafolio 1/N, evaluación fuera de muestra, preregistro.</w:t>
      </w:r>
    </w:p>
    <w:p w14:paraId="285EDA65" w14:textId="77777777" w:rsidR="000139C7" w:rsidRDefault="002D77B1">
      <w:r>
        <w:br w:type="page"/>
      </w:r>
    </w:p>
    <w:p w14:paraId="59ED1D5F" w14:textId="77777777" w:rsidR="000139C7" w:rsidRDefault="002D77B1">
      <w:pPr>
        <w:spacing w:before="360" w:after="160"/>
      </w:pPr>
      <w:r>
        <w:rPr>
          <w:b/>
          <w:bCs/>
          <w:color w:val="1F3864"/>
          <w:sz w:val="30"/>
          <w:szCs w:val="30"/>
        </w:rPr>
        <w:lastRenderedPageBreak/>
        <w:t>Contenido</w:t>
      </w:r>
    </w:p>
    <w:sdt>
      <w:sdtPr>
        <w:alias w:val="Contenido"/>
        <w:id w:val="-1991322522"/>
      </w:sdtPr>
      <w:sdtEndPr/>
      <w:sdtContent>
        <w:p w14:paraId="55509EAD" w14:textId="6CCAE839" w:rsidR="00B22FFC" w:rsidRDefault="002D77B1">
          <w:pPr>
            <w:pStyle w:val="TDC1"/>
            <w:tabs>
              <w:tab w:val="right" w:leader="dot" w:pos="906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139788" w:history="1">
            <w:r w:rsidR="00B22FFC" w:rsidRPr="002307A2">
              <w:rPr>
                <w:rStyle w:val="Hipervnculo"/>
                <w:noProof/>
              </w:rPr>
              <w:t>Resumen</w:t>
            </w:r>
            <w:r w:rsidR="00B22FFC">
              <w:rPr>
                <w:noProof/>
              </w:rPr>
              <w:tab/>
            </w:r>
            <w:r w:rsidR="00B22FFC">
              <w:rPr>
                <w:noProof/>
              </w:rPr>
              <w:fldChar w:fldCharType="begin"/>
            </w:r>
            <w:r w:rsidR="00B22FFC">
              <w:rPr>
                <w:noProof/>
              </w:rPr>
              <w:instrText xml:space="preserve"> PAGEREF _Toc242139788 \h </w:instrText>
            </w:r>
            <w:r w:rsidR="00B22FFC">
              <w:rPr>
                <w:noProof/>
              </w:rPr>
            </w:r>
            <w:r w:rsidR="00B22FFC">
              <w:rPr>
                <w:noProof/>
              </w:rPr>
              <w:fldChar w:fldCharType="separate"/>
            </w:r>
            <w:r w:rsidR="00B22FFC">
              <w:rPr>
                <w:noProof/>
              </w:rPr>
              <w:t>2</w:t>
            </w:r>
            <w:r w:rsidR="00B22FFC">
              <w:rPr>
                <w:noProof/>
              </w:rPr>
              <w:fldChar w:fldCharType="end"/>
            </w:r>
          </w:hyperlink>
        </w:p>
        <w:p w14:paraId="10E430A9" w14:textId="71AD2DB4" w:rsidR="00B22FFC" w:rsidRDefault="00B22FF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2139789" w:history="1">
            <w:r w:rsidRPr="002307A2">
              <w:rPr>
                <w:rStyle w:val="Hipervnculo"/>
                <w:noProof/>
              </w:rPr>
              <w:t>1. Introducción</w:t>
            </w:r>
            <w:r>
              <w:rPr>
                <w:noProof/>
              </w:rPr>
              <w:tab/>
            </w:r>
            <w:r>
              <w:rPr>
                <w:noProof/>
              </w:rPr>
              <w:fldChar w:fldCharType="begin"/>
            </w:r>
            <w:r>
              <w:rPr>
                <w:noProof/>
              </w:rPr>
              <w:instrText xml:space="preserve"> PAGEREF _Toc242139789 \h </w:instrText>
            </w:r>
            <w:r>
              <w:rPr>
                <w:noProof/>
              </w:rPr>
            </w:r>
            <w:r>
              <w:rPr>
                <w:noProof/>
              </w:rPr>
              <w:fldChar w:fldCharType="separate"/>
            </w:r>
            <w:r>
              <w:rPr>
                <w:noProof/>
              </w:rPr>
              <w:t>4</w:t>
            </w:r>
            <w:r>
              <w:rPr>
                <w:noProof/>
              </w:rPr>
              <w:fldChar w:fldCharType="end"/>
            </w:r>
          </w:hyperlink>
        </w:p>
        <w:p w14:paraId="1D2B86C2" w14:textId="14D08E8E" w:rsidR="00B22FFC" w:rsidRDefault="00B22FF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2139790" w:history="1">
            <w:r w:rsidRPr="002307A2">
              <w:rPr>
                <w:rStyle w:val="Hipervnculo"/>
                <w:noProof/>
              </w:rPr>
              <w:t>2. Problema y preguntas de investigación</w:t>
            </w:r>
            <w:r>
              <w:rPr>
                <w:noProof/>
              </w:rPr>
              <w:tab/>
            </w:r>
            <w:r>
              <w:rPr>
                <w:noProof/>
              </w:rPr>
              <w:fldChar w:fldCharType="begin"/>
            </w:r>
            <w:r>
              <w:rPr>
                <w:noProof/>
              </w:rPr>
              <w:instrText xml:space="preserve"> PAGEREF _Toc242139790 \h </w:instrText>
            </w:r>
            <w:r>
              <w:rPr>
                <w:noProof/>
              </w:rPr>
            </w:r>
            <w:r>
              <w:rPr>
                <w:noProof/>
              </w:rPr>
              <w:fldChar w:fldCharType="separate"/>
            </w:r>
            <w:r>
              <w:rPr>
                <w:noProof/>
              </w:rPr>
              <w:t>4</w:t>
            </w:r>
            <w:r>
              <w:rPr>
                <w:noProof/>
              </w:rPr>
              <w:fldChar w:fldCharType="end"/>
            </w:r>
          </w:hyperlink>
        </w:p>
        <w:p w14:paraId="29DD7F45" w14:textId="43BD8A4E" w:rsidR="00B22FFC" w:rsidRDefault="00B22FF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2139791" w:history="1">
            <w:r w:rsidRPr="002307A2">
              <w:rPr>
                <w:rStyle w:val="Hipervnculo"/>
                <w:noProof/>
              </w:rPr>
              <w:t>3. Datos</w:t>
            </w:r>
            <w:r>
              <w:rPr>
                <w:noProof/>
              </w:rPr>
              <w:tab/>
            </w:r>
            <w:r>
              <w:rPr>
                <w:noProof/>
              </w:rPr>
              <w:fldChar w:fldCharType="begin"/>
            </w:r>
            <w:r>
              <w:rPr>
                <w:noProof/>
              </w:rPr>
              <w:instrText xml:space="preserve"> PAGEREF _Toc242139791 \h </w:instrText>
            </w:r>
            <w:r>
              <w:rPr>
                <w:noProof/>
              </w:rPr>
            </w:r>
            <w:r>
              <w:rPr>
                <w:noProof/>
              </w:rPr>
              <w:fldChar w:fldCharType="separate"/>
            </w:r>
            <w:r>
              <w:rPr>
                <w:noProof/>
              </w:rPr>
              <w:t>5</w:t>
            </w:r>
            <w:r>
              <w:rPr>
                <w:noProof/>
              </w:rPr>
              <w:fldChar w:fldCharType="end"/>
            </w:r>
          </w:hyperlink>
        </w:p>
        <w:p w14:paraId="316835C9" w14:textId="2B2777CA" w:rsidR="00B22FFC" w:rsidRDefault="00B22FF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2139792" w:history="1">
            <w:r w:rsidRPr="002307A2">
              <w:rPr>
                <w:rStyle w:val="Hipervnculo"/>
                <w:noProof/>
              </w:rPr>
              <w:t>3.1 Fuente y universo</w:t>
            </w:r>
            <w:r>
              <w:rPr>
                <w:noProof/>
              </w:rPr>
              <w:tab/>
            </w:r>
            <w:r>
              <w:rPr>
                <w:noProof/>
              </w:rPr>
              <w:fldChar w:fldCharType="begin"/>
            </w:r>
            <w:r>
              <w:rPr>
                <w:noProof/>
              </w:rPr>
              <w:instrText xml:space="preserve"> PAGEREF _Toc242139792 \h </w:instrText>
            </w:r>
            <w:r>
              <w:rPr>
                <w:noProof/>
              </w:rPr>
            </w:r>
            <w:r>
              <w:rPr>
                <w:noProof/>
              </w:rPr>
              <w:fldChar w:fldCharType="separate"/>
            </w:r>
            <w:r>
              <w:rPr>
                <w:noProof/>
              </w:rPr>
              <w:t>5</w:t>
            </w:r>
            <w:r>
              <w:rPr>
                <w:noProof/>
              </w:rPr>
              <w:fldChar w:fldCharType="end"/>
            </w:r>
          </w:hyperlink>
        </w:p>
        <w:p w14:paraId="05E430F2" w14:textId="2CD53E07" w:rsidR="00B22FFC" w:rsidRDefault="00B22FF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2139793" w:history="1">
            <w:r w:rsidRPr="002307A2">
              <w:rPr>
                <w:rStyle w:val="Hipervnculo"/>
                <w:noProof/>
              </w:rPr>
              <w:t>3.2 Calidad de los datos</w:t>
            </w:r>
            <w:r>
              <w:rPr>
                <w:noProof/>
              </w:rPr>
              <w:tab/>
            </w:r>
            <w:r>
              <w:rPr>
                <w:noProof/>
              </w:rPr>
              <w:fldChar w:fldCharType="begin"/>
            </w:r>
            <w:r>
              <w:rPr>
                <w:noProof/>
              </w:rPr>
              <w:instrText xml:space="preserve"> PAGEREF _Toc242139793 \h </w:instrText>
            </w:r>
            <w:r>
              <w:rPr>
                <w:noProof/>
              </w:rPr>
            </w:r>
            <w:r>
              <w:rPr>
                <w:noProof/>
              </w:rPr>
              <w:fldChar w:fldCharType="separate"/>
            </w:r>
            <w:r>
              <w:rPr>
                <w:noProof/>
              </w:rPr>
              <w:t>5</w:t>
            </w:r>
            <w:r>
              <w:rPr>
                <w:noProof/>
              </w:rPr>
              <w:fldChar w:fldCharType="end"/>
            </w:r>
          </w:hyperlink>
        </w:p>
        <w:p w14:paraId="1E366DFC" w14:textId="636B9E2D" w:rsidR="00B22FFC" w:rsidRDefault="00B22FF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2139794" w:history="1">
            <w:r w:rsidRPr="002307A2">
              <w:rPr>
                <w:rStyle w:val="Hipervnculo"/>
                <w:noProof/>
              </w:rPr>
              <w:t>3.3 Partición temporal</w:t>
            </w:r>
            <w:r>
              <w:rPr>
                <w:noProof/>
              </w:rPr>
              <w:tab/>
            </w:r>
            <w:r>
              <w:rPr>
                <w:noProof/>
              </w:rPr>
              <w:fldChar w:fldCharType="begin"/>
            </w:r>
            <w:r>
              <w:rPr>
                <w:noProof/>
              </w:rPr>
              <w:instrText xml:space="preserve"> PAGEREF _Toc242139794 \h </w:instrText>
            </w:r>
            <w:r>
              <w:rPr>
                <w:noProof/>
              </w:rPr>
            </w:r>
            <w:r>
              <w:rPr>
                <w:noProof/>
              </w:rPr>
              <w:fldChar w:fldCharType="separate"/>
            </w:r>
            <w:r>
              <w:rPr>
                <w:noProof/>
              </w:rPr>
              <w:t>6</w:t>
            </w:r>
            <w:r>
              <w:rPr>
                <w:noProof/>
              </w:rPr>
              <w:fldChar w:fldCharType="end"/>
            </w:r>
          </w:hyperlink>
        </w:p>
        <w:p w14:paraId="29262D9F" w14:textId="4328B818" w:rsidR="00B22FFC" w:rsidRDefault="00B22FF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2139795" w:history="1">
            <w:r w:rsidRPr="002307A2">
              <w:rPr>
                <w:rStyle w:val="Hipervnculo"/>
                <w:noProof/>
              </w:rPr>
              <w:t>4. Análisis exploratorio</w:t>
            </w:r>
            <w:r>
              <w:rPr>
                <w:noProof/>
              </w:rPr>
              <w:tab/>
            </w:r>
            <w:r>
              <w:rPr>
                <w:noProof/>
              </w:rPr>
              <w:fldChar w:fldCharType="begin"/>
            </w:r>
            <w:r>
              <w:rPr>
                <w:noProof/>
              </w:rPr>
              <w:instrText xml:space="preserve"> PAGEREF _Toc242139795 \h </w:instrText>
            </w:r>
            <w:r>
              <w:rPr>
                <w:noProof/>
              </w:rPr>
            </w:r>
            <w:r>
              <w:rPr>
                <w:noProof/>
              </w:rPr>
              <w:fldChar w:fldCharType="separate"/>
            </w:r>
            <w:r>
              <w:rPr>
                <w:noProof/>
              </w:rPr>
              <w:t>6</w:t>
            </w:r>
            <w:r>
              <w:rPr>
                <w:noProof/>
              </w:rPr>
              <w:fldChar w:fldCharType="end"/>
            </w:r>
          </w:hyperlink>
        </w:p>
        <w:p w14:paraId="38B0F4C5" w14:textId="756D6F62" w:rsidR="00B22FFC" w:rsidRDefault="00B22FF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2139796" w:history="1">
            <w:r w:rsidRPr="002307A2">
              <w:rPr>
                <w:rStyle w:val="Hipervnculo"/>
                <w:noProof/>
              </w:rPr>
              <w:t>5. Metodología econométrica</w:t>
            </w:r>
            <w:r>
              <w:rPr>
                <w:noProof/>
              </w:rPr>
              <w:tab/>
            </w:r>
            <w:r>
              <w:rPr>
                <w:noProof/>
              </w:rPr>
              <w:fldChar w:fldCharType="begin"/>
            </w:r>
            <w:r>
              <w:rPr>
                <w:noProof/>
              </w:rPr>
              <w:instrText xml:space="preserve"> PAGEREF _Toc242139796 \h </w:instrText>
            </w:r>
            <w:r>
              <w:rPr>
                <w:noProof/>
              </w:rPr>
            </w:r>
            <w:r>
              <w:rPr>
                <w:noProof/>
              </w:rPr>
              <w:fldChar w:fldCharType="separate"/>
            </w:r>
            <w:r>
              <w:rPr>
                <w:noProof/>
              </w:rPr>
              <w:t>7</w:t>
            </w:r>
            <w:r>
              <w:rPr>
                <w:noProof/>
              </w:rPr>
              <w:fldChar w:fldCharType="end"/>
            </w:r>
          </w:hyperlink>
        </w:p>
        <w:p w14:paraId="77AAF265" w14:textId="5E2A9522" w:rsidR="00B22FFC" w:rsidRDefault="00B22FF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2139797" w:history="1">
            <w:r w:rsidRPr="002307A2">
              <w:rPr>
                <w:rStyle w:val="Hipervnculo"/>
                <w:noProof/>
              </w:rPr>
              <w:t>5.1 Principios de evaluación</w:t>
            </w:r>
            <w:r>
              <w:rPr>
                <w:noProof/>
              </w:rPr>
              <w:tab/>
            </w:r>
            <w:r>
              <w:rPr>
                <w:noProof/>
              </w:rPr>
              <w:fldChar w:fldCharType="begin"/>
            </w:r>
            <w:r>
              <w:rPr>
                <w:noProof/>
              </w:rPr>
              <w:instrText xml:space="preserve"> PAGEREF _Toc242139797 \h </w:instrText>
            </w:r>
            <w:r>
              <w:rPr>
                <w:noProof/>
              </w:rPr>
            </w:r>
            <w:r>
              <w:rPr>
                <w:noProof/>
              </w:rPr>
              <w:fldChar w:fldCharType="separate"/>
            </w:r>
            <w:r>
              <w:rPr>
                <w:noProof/>
              </w:rPr>
              <w:t>7</w:t>
            </w:r>
            <w:r>
              <w:rPr>
                <w:noProof/>
              </w:rPr>
              <w:fldChar w:fldCharType="end"/>
            </w:r>
          </w:hyperlink>
        </w:p>
        <w:p w14:paraId="7421FBCF" w14:textId="2542C3FC" w:rsidR="00B22FFC" w:rsidRDefault="00B22FF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2139798" w:history="1">
            <w:r w:rsidRPr="002307A2">
              <w:rPr>
                <w:rStyle w:val="Hipervnculo"/>
                <w:noProof/>
              </w:rPr>
              <w:t>5.2 Modelos</w:t>
            </w:r>
            <w:r>
              <w:rPr>
                <w:noProof/>
              </w:rPr>
              <w:tab/>
            </w:r>
            <w:r>
              <w:rPr>
                <w:noProof/>
              </w:rPr>
              <w:fldChar w:fldCharType="begin"/>
            </w:r>
            <w:r>
              <w:rPr>
                <w:noProof/>
              </w:rPr>
              <w:instrText xml:space="preserve"> PAGEREF _Toc242139798 \h </w:instrText>
            </w:r>
            <w:r>
              <w:rPr>
                <w:noProof/>
              </w:rPr>
            </w:r>
            <w:r>
              <w:rPr>
                <w:noProof/>
              </w:rPr>
              <w:fldChar w:fldCharType="separate"/>
            </w:r>
            <w:r>
              <w:rPr>
                <w:noProof/>
              </w:rPr>
              <w:t>8</w:t>
            </w:r>
            <w:r>
              <w:rPr>
                <w:noProof/>
              </w:rPr>
              <w:fldChar w:fldCharType="end"/>
            </w:r>
          </w:hyperlink>
        </w:p>
        <w:p w14:paraId="56C61C6C" w14:textId="07545578" w:rsidR="00B22FFC" w:rsidRDefault="00B22FF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2139799" w:history="1">
            <w:r w:rsidRPr="002307A2">
              <w:rPr>
                <w:rStyle w:val="Hipervnculo"/>
                <w:noProof/>
              </w:rPr>
              <w:t>6. Modelos de aprendizaje automático</w:t>
            </w:r>
            <w:r>
              <w:rPr>
                <w:noProof/>
              </w:rPr>
              <w:tab/>
            </w:r>
            <w:r>
              <w:rPr>
                <w:noProof/>
              </w:rPr>
              <w:fldChar w:fldCharType="begin"/>
            </w:r>
            <w:r>
              <w:rPr>
                <w:noProof/>
              </w:rPr>
              <w:instrText xml:space="preserve"> PAGEREF _Toc242139799 \h </w:instrText>
            </w:r>
            <w:r>
              <w:rPr>
                <w:noProof/>
              </w:rPr>
            </w:r>
            <w:r>
              <w:rPr>
                <w:noProof/>
              </w:rPr>
              <w:fldChar w:fldCharType="separate"/>
            </w:r>
            <w:r>
              <w:rPr>
                <w:noProof/>
              </w:rPr>
              <w:t>9</w:t>
            </w:r>
            <w:r>
              <w:rPr>
                <w:noProof/>
              </w:rPr>
              <w:fldChar w:fldCharType="end"/>
            </w:r>
          </w:hyperlink>
        </w:p>
        <w:p w14:paraId="093D4E8D" w14:textId="73070A1F" w:rsidR="00B22FFC" w:rsidRDefault="00B22FF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2139800" w:history="1">
            <w:r w:rsidRPr="002307A2">
              <w:rPr>
                <w:rStyle w:val="Hipervnculo"/>
                <w:noProof/>
              </w:rPr>
              <w:t>7. Redes neuronales</w:t>
            </w:r>
            <w:r>
              <w:rPr>
                <w:noProof/>
              </w:rPr>
              <w:tab/>
            </w:r>
            <w:r>
              <w:rPr>
                <w:noProof/>
              </w:rPr>
              <w:fldChar w:fldCharType="begin"/>
            </w:r>
            <w:r>
              <w:rPr>
                <w:noProof/>
              </w:rPr>
              <w:instrText xml:space="preserve"> PAGEREF _Toc242139800 \h </w:instrText>
            </w:r>
            <w:r>
              <w:rPr>
                <w:noProof/>
              </w:rPr>
            </w:r>
            <w:r>
              <w:rPr>
                <w:noProof/>
              </w:rPr>
              <w:fldChar w:fldCharType="separate"/>
            </w:r>
            <w:r>
              <w:rPr>
                <w:noProof/>
              </w:rPr>
              <w:t>10</w:t>
            </w:r>
            <w:r>
              <w:rPr>
                <w:noProof/>
              </w:rPr>
              <w:fldChar w:fldCharType="end"/>
            </w:r>
          </w:hyperlink>
        </w:p>
        <w:p w14:paraId="0FFB3F9B" w14:textId="05AF8BD9" w:rsidR="00B22FFC" w:rsidRDefault="00B22FF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2139801" w:history="1">
            <w:r w:rsidRPr="002307A2">
              <w:rPr>
                <w:rStyle w:val="Hipervnculo"/>
                <w:noProof/>
              </w:rPr>
              <w:t>8. Modelos de riesgo</w:t>
            </w:r>
            <w:r>
              <w:rPr>
                <w:noProof/>
              </w:rPr>
              <w:tab/>
            </w:r>
            <w:r>
              <w:rPr>
                <w:noProof/>
              </w:rPr>
              <w:fldChar w:fldCharType="begin"/>
            </w:r>
            <w:r>
              <w:rPr>
                <w:noProof/>
              </w:rPr>
              <w:instrText xml:space="preserve"> PAGEREF _Toc242139801 \h </w:instrText>
            </w:r>
            <w:r>
              <w:rPr>
                <w:noProof/>
              </w:rPr>
            </w:r>
            <w:r>
              <w:rPr>
                <w:noProof/>
              </w:rPr>
              <w:fldChar w:fldCharType="separate"/>
            </w:r>
            <w:r>
              <w:rPr>
                <w:noProof/>
              </w:rPr>
              <w:t>10</w:t>
            </w:r>
            <w:r>
              <w:rPr>
                <w:noProof/>
              </w:rPr>
              <w:fldChar w:fldCharType="end"/>
            </w:r>
          </w:hyperlink>
        </w:p>
        <w:p w14:paraId="34C3E29E" w14:textId="744F3A21" w:rsidR="00B22FFC" w:rsidRDefault="00B22FF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2139802" w:history="1">
            <w:r w:rsidRPr="002307A2">
              <w:rPr>
                <w:rStyle w:val="Hipervnculo"/>
                <w:noProof/>
              </w:rPr>
              <w:t>9. Optimización</w:t>
            </w:r>
            <w:r>
              <w:rPr>
                <w:noProof/>
              </w:rPr>
              <w:tab/>
            </w:r>
            <w:r>
              <w:rPr>
                <w:noProof/>
              </w:rPr>
              <w:fldChar w:fldCharType="begin"/>
            </w:r>
            <w:r>
              <w:rPr>
                <w:noProof/>
              </w:rPr>
              <w:instrText xml:space="preserve"> PAGEREF _Toc242139802 \h </w:instrText>
            </w:r>
            <w:r>
              <w:rPr>
                <w:noProof/>
              </w:rPr>
            </w:r>
            <w:r>
              <w:rPr>
                <w:noProof/>
              </w:rPr>
              <w:fldChar w:fldCharType="separate"/>
            </w:r>
            <w:r>
              <w:rPr>
                <w:noProof/>
              </w:rPr>
              <w:t>11</w:t>
            </w:r>
            <w:r>
              <w:rPr>
                <w:noProof/>
              </w:rPr>
              <w:fldChar w:fldCharType="end"/>
            </w:r>
          </w:hyperlink>
        </w:p>
        <w:p w14:paraId="59D9A1E9" w14:textId="2FF06488" w:rsidR="00B22FFC" w:rsidRDefault="00B22FF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2139803" w:history="1">
            <w:r w:rsidRPr="002307A2">
              <w:rPr>
                <w:rStyle w:val="Hipervnculo"/>
                <w:noProof/>
              </w:rPr>
              <w:t>10. Backtesting</w:t>
            </w:r>
            <w:r>
              <w:rPr>
                <w:noProof/>
              </w:rPr>
              <w:tab/>
            </w:r>
            <w:r>
              <w:rPr>
                <w:noProof/>
              </w:rPr>
              <w:fldChar w:fldCharType="begin"/>
            </w:r>
            <w:r>
              <w:rPr>
                <w:noProof/>
              </w:rPr>
              <w:instrText xml:space="preserve"> PAGEREF _Toc242139803 \h </w:instrText>
            </w:r>
            <w:r>
              <w:rPr>
                <w:noProof/>
              </w:rPr>
            </w:r>
            <w:r>
              <w:rPr>
                <w:noProof/>
              </w:rPr>
              <w:fldChar w:fldCharType="separate"/>
            </w:r>
            <w:r>
              <w:rPr>
                <w:noProof/>
              </w:rPr>
              <w:t>12</w:t>
            </w:r>
            <w:r>
              <w:rPr>
                <w:noProof/>
              </w:rPr>
              <w:fldChar w:fldCharType="end"/>
            </w:r>
          </w:hyperlink>
        </w:p>
        <w:p w14:paraId="0D2551AC" w14:textId="1E521780" w:rsidR="00B22FFC" w:rsidRDefault="00B22FF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2139804" w:history="1">
            <w:r w:rsidRPr="002307A2">
              <w:rPr>
                <w:rStyle w:val="Hipervnculo"/>
                <w:noProof/>
              </w:rPr>
              <w:t>11. Robustez</w:t>
            </w:r>
            <w:r>
              <w:rPr>
                <w:noProof/>
              </w:rPr>
              <w:tab/>
            </w:r>
            <w:r>
              <w:rPr>
                <w:noProof/>
              </w:rPr>
              <w:fldChar w:fldCharType="begin"/>
            </w:r>
            <w:r>
              <w:rPr>
                <w:noProof/>
              </w:rPr>
              <w:instrText xml:space="preserve"> PAGEREF _Toc242139804 \h </w:instrText>
            </w:r>
            <w:r>
              <w:rPr>
                <w:noProof/>
              </w:rPr>
            </w:r>
            <w:r>
              <w:rPr>
                <w:noProof/>
              </w:rPr>
              <w:fldChar w:fldCharType="separate"/>
            </w:r>
            <w:r>
              <w:rPr>
                <w:noProof/>
              </w:rPr>
              <w:t>13</w:t>
            </w:r>
            <w:r>
              <w:rPr>
                <w:noProof/>
              </w:rPr>
              <w:fldChar w:fldCharType="end"/>
            </w:r>
          </w:hyperlink>
        </w:p>
        <w:p w14:paraId="6BBAE7C8" w14:textId="470E8CCA" w:rsidR="00B22FFC" w:rsidRDefault="00B22FF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2139805" w:history="1">
            <w:r w:rsidRPr="002307A2">
              <w:rPr>
                <w:rStyle w:val="Hipervnculo"/>
                <w:noProof/>
              </w:rPr>
              <w:t>12. Comparación final en el bloque de prueba</w:t>
            </w:r>
            <w:r>
              <w:rPr>
                <w:noProof/>
              </w:rPr>
              <w:tab/>
            </w:r>
            <w:r>
              <w:rPr>
                <w:noProof/>
              </w:rPr>
              <w:fldChar w:fldCharType="begin"/>
            </w:r>
            <w:r>
              <w:rPr>
                <w:noProof/>
              </w:rPr>
              <w:instrText xml:space="preserve"> PAGEREF _Toc242139805 \h </w:instrText>
            </w:r>
            <w:r>
              <w:rPr>
                <w:noProof/>
              </w:rPr>
            </w:r>
            <w:r>
              <w:rPr>
                <w:noProof/>
              </w:rPr>
              <w:fldChar w:fldCharType="separate"/>
            </w:r>
            <w:r>
              <w:rPr>
                <w:noProof/>
              </w:rPr>
              <w:t>14</w:t>
            </w:r>
            <w:r>
              <w:rPr>
                <w:noProof/>
              </w:rPr>
              <w:fldChar w:fldCharType="end"/>
            </w:r>
          </w:hyperlink>
        </w:p>
        <w:p w14:paraId="7C5ADB9D" w14:textId="5C2FEABB" w:rsidR="00B22FFC" w:rsidRDefault="00B22FF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2139806" w:history="1">
            <w:r w:rsidRPr="002307A2">
              <w:rPr>
                <w:rStyle w:val="Hipervnculo"/>
                <w:noProof/>
              </w:rPr>
              <w:t>12.1 Protocolo</w:t>
            </w:r>
            <w:r>
              <w:rPr>
                <w:noProof/>
              </w:rPr>
              <w:tab/>
            </w:r>
            <w:r>
              <w:rPr>
                <w:noProof/>
              </w:rPr>
              <w:fldChar w:fldCharType="begin"/>
            </w:r>
            <w:r>
              <w:rPr>
                <w:noProof/>
              </w:rPr>
              <w:instrText xml:space="preserve"> PAGEREF _Toc242139806 \h </w:instrText>
            </w:r>
            <w:r>
              <w:rPr>
                <w:noProof/>
              </w:rPr>
            </w:r>
            <w:r>
              <w:rPr>
                <w:noProof/>
              </w:rPr>
              <w:fldChar w:fldCharType="separate"/>
            </w:r>
            <w:r>
              <w:rPr>
                <w:noProof/>
              </w:rPr>
              <w:t>14</w:t>
            </w:r>
            <w:r>
              <w:rPr>
                <w:noProof/>
              </w:rPr>
              <w:fldChar w:fldCharType="end"/>
            </w:r>
          </w:hyperlink>
        </w:p>
        <w:p w14:paraId="44A80EE5" w14:textId="64163CBA" w:rsidR="00B22FFC" w:rsidRDefault="00B22FF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2139807" w:history="1">
            <w:r w:rsidRPr="002307A2">
              <w:rPr>
                <w:rStyle w:val="Hipervnculo"/>
                <w:noProof/>
              </w:rPr>
              <w:t>12.2 Resultados</w:t>
            </w:r>
            <w:r>
              <w:rPr>
                <w:noProof/>
              </w:rPr>
              <w:tab/>
            </w:r>
            <w:r>
              <w:rPr>
                <w:noProof/>
              </w:rPr>
              <w:fldChar w:fldCharType="begin"/>
            </w:r>
            <w:r>
              <w:rPr>
                <w:noProof/>
              </w:rPr>
              <w:instrText xml:space="preserve"> PAGEREF _Toc242139807 \h </w:instrText>
            </w:r>
            <w:r>
              <w:rPr>
                <w:noProof/>
              </w:rPr>
            </w:r>
            <w:r>
              <w:rPr>
                <w:noProof/>
              </w:rPr>
              <w:fldChar w:fldCharType="separate"/>
            </w:r>
            <w:r>
              <w:rPr>
                <w:noProof/>
              </w:rPr>
              <w:t>15</w:t>
            </w:r>
            <w:r>
              <w:rPr>
                <w:noProof/>
              </w:rPr>
              <w:fldChar w:fldCharType="end"/>
            </w:r>
          </w:hyperlink>
        </w:p>
        <w:p w14:paraId="7E504094" w14:textId="491EB34E" w:rsidR="00B22FFC" w:rsidRDefault="00B22FF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2139808" w:history="1">
            <w:r w:rsidRPr="002307A2">
              <w:rPr>
                <w:rStyle w:val="Hipervnculo"/>
                <w:noProof/>
              </w:rPr>
              <w:t>13. Agente de IA</w:t>
            </w:r>
            <w:r>
              <w:rPr>
                <w:noProof/>
              </w:rPr>
              <w:tab/>
            </w:r>
            <w:r>
              <w:rPr>
                <w:noProof/>
              </w:rPr>
              <w:fldChar w:fldCharType="begin"/>
            </w:r>
            <w:r>
              <w:rPr>
                <w:noProof/>
              </w:rPr>
              <w:instrText xml:space="preserve"> PAGEREF _Toc242139808 \h </w:instrText>
            </w:r>
            <w:r>
              <w:rPr>
                <w:noProof/>
              </w:rPr>
            </w:r>
            <w:r>
              <w:rPr>
                <w:noProof/>
              </w:rPr>
              <w:fldChar w:fldCharType="separate"/>
            </w:r>
            <w:r>
              <w:rPr>
                <w:noProof/>
              </w:rPr>
              <w:t>16</w:t>
            </w:r>
            <w:r>
              <w:rPr>
                <w:noProof/>
              </w:rPr>
              <w:fldChar w:fldCharType="end"/>
            </w:r>
          </w:hyperlink>
        </w:p>
        <w:p w14:paraId="67CA625A" w14:textId="3A30C0B3" w:rsidR="00B22FFC" w:rsidRDefault="00B22FF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2139809" w:history="1">
            <w:r w:rsidRPr="002307A2">
              <w:rPr>
                <w:rStyle w:val="Hipervnculo"/>
                <w:noProof/>
              </w:rPr>
              <w:t>13.1 Diseño</w:t>
            </w:r>
            <w:r>
              <w:rPr>
                <w:noProof/>
              </w:rPr>
              <w:tab/>
            </w:r>
            <w:r>
              <w:rPr>
                <w:noProof/>
              </w:rPr>
              <w:fldChar w:fldCharType="begin"/>
            </w:r>
            <w:r>
              <w:rPr>
                <w:noProof/>
              </w:rPr>
              <w:instrText xml:space="preserve"> PAGEREF _Toc242139809 \h </w:instrText>
            </w:r>
            <w:r>
              <w:rPr>
                <w:noProof/>
              </w:rPr>
            </w:r>
            <w:r>
              <w:rPr>
                <w:noProof/>
              </w:rPr>
              <w:fldChar w:fldCharType="separate"/>
            </w:r>
            <w:r>
              <w:rPr>
                <w:noProof/>
              </w:rPr>
              <w:t>16</w:t>
            </w:r>
            <w:r>
              <w:rPr>
                <w:noProof/>
              </w:rPr>
              <w:fldChar w:fldCharType="end"/>
            </w:r>
          </w:hyperlink>
        </w:p>
        <w:p w14:paraId="5A2C08CF" w14:textId="470FD5E3" w:rsidR="00B22FFC" w:rsidRDefault="00B22FF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2139810" w:history="1">
            <w:r w:rsidRPr="002307A2">
              <w:rPr>
                <w:rStyle w:val="Hipervnculo"/>
                <w:noProof/>
              </w:rPr>
              <w:t>13.2 Evaluación</w:t>
            </w:r>
            <w:r>
              <w:rPr>
                <w:noProof/>
              </w:rPr>
              <w:tab/>
            </w:r>
            <w:r>
              <w:rPr>
                <w:noProof/>
              </w:rPr>
              <w:fldChar w:fldCharType="begin"/>
            </w:r>
            <w:r>
              <w:rPr>
                <w:noProof/>
              </w:rPr>
              <w:instrText xml:space="preserve"> PAGEREF _Toc242139810 \h </w:instrText>
            </w:r>
            <w:r>
              <w:rPr>
                <w:noProof/>
              </w:rPr>
            </w:r>
            <w:r>
              <w:rPr>
                <w:noProof/>
              </w:rPr>
              <w:fldChar w:fldCharType="separate"/>
            </w:r>
            <w:r>
              <w:rPr>
                <w:noProof/>
              </w:rPr>
              <w:t>17</w:t>
            </w:r>
            <w:r>
              <w:rPr>
                <w:noProof/>
              </w:rPr>
              <w:fldChar w:fldCharType="end"/>
            </w:r>
          </w:hyperlink>
        </w:p>
        <w:p w14:paraId="665ADF8A" w14:textId="5410840C" w:rsidR="00B22FFC" w:rsidRDefault="00B22FF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2139811" w:history="1">
            <w:r w:rsidRPr="002307A2">
              <w:rPr>
                <w:rStyle w:val="Hipervnculo"/>
                <w:noProof/>
              </w:rPr>
              <w:t>14. Resultados</w:t>
            </w:r>
            <w:r>
              <w:rPr>
                <w:noProof/>
              </w:rPr>
              <w:tab/>
            </w:r>
            <w:r>
              <w:rPr>
                <w:noProof/>
              </w:rPr>
              <w:fldChar w:fldCharType="begin"/>
            </w:r>
            <w:r>
              <w:rPr>
                <w:noProof/>
              </w:rPr>
              <w:instrText xml:space="preserve"> PAGEREF _Toc242139811 \h </w:instrText>
            </w:r>
            <w:r>
              <w:rPr>
                <w:noProof/>
              </w:rPr>
            </w:r>
            <w:r>
              <w:rPr>
                <w:noProof/>
              </w:rPr>
              <w:fldChar w:fldCharType="separate"/>
            </w:r>
            <w:r>
              <w:rPr>
                <w:noProof/>
              </w:rPr>
              <w:t>18</w:t>
            </w:r>
            <w:r>
              <w:rPr>
                <w:noProof/>
              </w:rPr>
              <w:fldChar w:fldCharType="end"/>
            </w:r>
          </w:hyperlink>
        </w:p>
        <w:p w14:paraId="473E9204" w14:textId="49233776" w:rsidR="00B22FFC" w:rsidRDefault="00B22FF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2139812" w:history="1">
            <w:r w:rsidRPr="002307A2">
              <w:rPr>
                <w:rStyle w:val="Hipervnculo"/>
                <w:noProof/>
              </w:rPr>
              <w:t>14.1 Interpretación económica</w:t>
            </w:r>
            <w:r>
              <w:rPr>
                <w:noProof/>
              </w:rPr>
              <w:tab/>
            </w:r>
            <w:r>
              <w:rPr>
                <w:noProof/>
              </w:rPr>
              <w:fldChar w:fldCharType="begin"/>
            </w:r>
            <w:r>
              <w:rPr>
                <w:noProof/>
              </w:rPr>
              <w:instrText xml:space="preserve"> PAGEREF _Toc242139812 \h </w:instrText>
            </w:r>
            <w:r>
              <w:rPr>
                <w:noProof/>
              </w:rPr>
            </w:r>
            <w:r>
              <w:rPr>
                <w:noProof/>
              </w:rPr>
              <w:fldChar w:fldCharType="separate"/>
            </w:r>
            <w:r>
              <w:rPr>
                <w:noProof/>
              </w:rPr>
              <w:t>18</w:t>
            </w:r>
            <w:r>
              <w:rPr>
                <w:noProof/>
              </w:rPr>
              <w:fldChar w:fldCharType="end"/>
            </w:r>
          </w:hyperlink>
        </w:p>
        <w:p w14:paraId="467477F9" w14:textId="70C21EAB" w:rsidR="00B22FFC" w:rsidRDefault="00B22FF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2139813" w:history="1">
            <w:r w:rsidRPr="002307A2">
              <w:rPr>
                <w:rStyle w:val="Hipervnculo"/>
                <w:noProof/>
              </w:rPr>
              <w:t>15. Conclusiones</w:t>
            </w:r>
            <w:r>
              <w:rPr>
                <w:noProof/>
              </w:rPr>
              <w:tab/>
            </w:r>
            <w:r>
              <w:rPr>
                <w:noProof/>
              </w:rPr>
              <w:fldChar w:fldCharType="begin"/>
            </w:r>
            <w:r>
              <w:rPr>
                <w:noProof/>
              </w:rPr>
              <w:instrText xml:space="preserve"> PAGEREF _Toc242139813 \h </w:instrText>
            </w:r>
            <w:r>
              <w:rPr>
                <w:noProof/>
              </w:rPr>
            </w:r>
            <w:r>
              <w:rPr>
                <w:noProof/>
              </w:rPr>
              <w:fldChar w:fldCharType="separate"/>
            </w:r>
            <w:r>
              <w:rPr>
                <w:noProof/>
              </w:rPr>
              <w:t>19</w:t>
            </w:r>
            <w:r>
              <w:rPr>
                <w:noProof/>
              </w:rPr>
              <w:fldChar w:fldCharType="end"/>
            </w:r>
          </w:hyperlink>
        </w:p>
        <w:p w14:paraId="7D2B6119" w14:textId="6B5D5355" w:rsidR="00B22FFC" w:rsidRDefault="00B22FF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2139814" w:history="1">
            <w:r w:rsidRPr="002307A2">
              <w:rPr>
                <w:rStyle w:val="Hipervnculo"/>
                <w:noProof/>
              </w:rPr>
              <w:t>15.1 Limitaciones</w:t>
            </w:r>
            <w:r>
              <w:rPr>
                <w:noProof/>
              </w:rPr>
              <w:tab/>
            </w:r>
            <w:r>
              <w:rPr>
                <w:noProof/>
              </w:rPr>
              <w:fldChar w:fldCharType="begin"/>
            </w:r>
            <w:r>
              <w:rPr>
                <w:noProof/>
              </w:rPr>
              <w:instrText xml:space="preserve"> PAGEREF _Toc242139814 \h </w:instrText>
            </w:r>
            <w:r>
              <w:rPr>
                <w:noProof/>
              </w:rPr>
            </w:r>
            <w:r>
              <w:rPr>
                <w:noProof/>
              </w:rPr>
              <w:fldChar w:fldCharType="separate"/>
            </w:r>
            <w:r>
              <w:rPr>
                <w:noProof/>
              </w:rPr>
              <w:t>19</w:t>
            </w:r>
            <w:r>
              <w:rPr>
                <w:noProof/>
              </w:rPr>
              <w:fldChar w:fldCharType="end"/>
            </w:r>
          </w:hyperlink>
        </w:p>
        <w:p w14:paraId="0438ED87" w14:textId="62BD458D" w:rsidR="00B22FFC" w:rsidRDefault="00B22FFC">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2139815" w:history="1">
            <w:r w:rsidRPr="002307A2">
              <w:rPr>
                <w:rStyle w:val="Hipervnculo"/>
                <w:noProof/>
              </w:rPr>
              <w:t>15.2 Trabajo futuro</w:t>
            </w:r>
            <w:r>
              <w:rPr>
                <w:noProof/>
              </w:rPr>
              <w:tab/>
            </w:r>
            <w:r>
              <w:rPr>
                <w:noProof/>
              </w:rPr>
              <w:fldChar w:fldCharType="begin"/>
            </w:r>
            <w:r>
              <w:rPr>
                <w:noProof/>
              </w:rPr>
              <w:instrText xml:space="preserve"> PAGEREF _Toc242139815 \h </w:instrText>
            </w:r>
            <w:r>
              <w:rPr>
                <w:noProof/>
              </w:rPr>
            </w:r>
            <w:r>
              <w:rPr>
                <w:noProof/>
              </w:rPr>
              <w:fldChar w:fldCharType="separate"/>
            </w:r>
            <w:r>
              <w:rPr>
                <w:noProof/>
              </w:rPr>
              <w:t>20</w:t>
            </w:r>
            <w:r>
              <w:rPr>
                <w:noProof/>
              </w:rPr>
              <w:fldChar w:fldCharType="end"/>
            </w:r>
          </w:hyperlink>
        </w:p>
        <w:p w14:paraId="16FD07D2" w14:textId="43CA5EB8" w:rsidR="00B22FFC" w:rsidRDefault="00B22FF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2139816" w:history="1">
            <w:r w:rsidRPr="002307A2">
              <w:rPr>
                <w:rStyle w:val="Hipervnculo"/>
                <w:noProof/>
              </w:rPr>
              <w:t>Reproducibilidad</w:t>
            </w:r>
            <w:r>
              <w:rPr>
                <w:noProof/>
              </w:rPr>
              <w:tab/>
            </w:r>
            <w:r>
              <w:rPr>
                <w:noProof/>
              </w:rPr>
              <w:fldChar w:fldCharType="begin"/>
            </w:r>
            <w:r>
              <w:rPr>
                <w:noProof/>
              </w:rPr>
              <w:instrText xml:space="preserve"> PAGEREF _Toc242139816 \h </w:instrText>
            </w:r>
            <w:r>
              <w:rPr>
                <w:noProof/>
              </w:rPr>
            </w:r>
            <w:r>
              <w:rPr>
                <w:noProof/>
              </w:rPr>
              <w:fldChar w:fldCharType="separate"/>
            </w:r>
            <w:r>
              <w:rPr>
                <w:noProof/>
              </w:rPr>
              <w:t>20</w:t>
            </w:r>
            <w:r>
              <w:rPr>
                <w:noProof/>
              </w:rPr>
              <w:fldChar w:fldCharType="end"/>
            </w:r>
          </w:hyperlink>
        </w:p>
        <w:p w14:paraId="0421CA7A" w14:textId="3D13CAA4" w:rsidR="00B22FFC" w:rsidRDefault="00B22FFC">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2139817" w:history="1">
            <w:r w:rsidRPr="002307A2">
              <w:rPr>
                <w:rStyle w:val="Hipervnculo"/>
                <w:noProof/>
              </w:rPr>
              <w:t>Referencias</w:t>
            </w:r>
            <w:r>
              <w:rPr>
                <w:noProof/>
              </w:rPr>
              <w:tab/>
            </w:r>
            <w:r>
              <w:rPr>
                <w:noProof/>
              </w:rPr>
              <w:fldChar w:fldCharType="begin"/>
            </w:r>
            <w:r>
              <w:rPr>
                <w:noProof/>
              </w:rPr>
              <w:instrText xml:space="preserve"> PAGEREF _Toc242139817 \h </w:instrText>
            </w:r>
            <w:r>
              <w:rPr>
                <w:noProof/>
              </w:rPr>
            </w:r>
            <w:r>
              <w:rPr>
                <w:noProof/>
              </w:rPr>
              <w:fldChar w:fldCharType="separate"/>
            </w:r>
            <w:r>
              <w:rPr>
                <w:noProof/>
              </w:rPr>
              <w:t>20</w:t>
            </w:r>
            <w:r>
              <w:rPr>
                <w:noProof/>
              </w:rPr>
              <w:fldChar w:fldCharType="end"/>
            </w:r>
          </w:hyperlink>
        </w:p>
        <w:p w14:paraId="74927761" w14:textId="1F614CDD" w:rsidR="000139C7" w:rsidRDefault="002D77B1">
          <w:r>
            <w:fldChar w:fldCharType="end"/>
          </w:r>
        </w:p>
      </w:sdtContent>
    </w:sdt>
    <w:p w14:paraId="31FAC2A5" w14:textId="77777777" w:rsidR="000139C7" w:rsidRDefault="002D77B1">
      <w:r>
        <w:br w:type="page"/>
      </w:r>
    </w:p>
    <w:p w14:paraId="7C09F7E6" w14:textId="77777777" w:rsidR="000139C7" w:rsidRDefault="002D77B1">
      <w:pPr>
        <w:pStyle w:val="Ttulo1"/>
      </w:pPr>
      <w:bookmarkStart w:id="1" w:name="_Toc242139789"/>
      <w:r>
        <w:lastRenderedPageBreak/>
        <w:t>1. Introducción</w:t>
      </w:r>
      <w:bookmarkEnd w:id="1"/>
    </w:p>
    <w:p w14:paraId="25782918" w14:textId="77777777" w:rsidR="000139C7" w:rsidRDefault="002D77B1">
      <w:pPr>
        <w:spacing w:after="160"/>
        <w:jc w:val="both"/>
      </w:pPr>
      <w:r>
        <w:t>La literatura y la práctica financiera reciente ofrecen modelos cada vez más complejos para pronosticar precios y construir portafolios: desde los modelos econométricos clásicos hasta métodos de aprendizaje automático y redes neuronales profundas. Con frecuencia la superioridad de un modelo complejo se afirma a partir de un buen ajuste dentro de muestra o de una evaluación fuera de muestra en la que, de manera inadvertida, se usó información del periodo evaluado para tomar decisiones de diseño.</w:t>
      </w:r>
    </w:p>
    <w:p w14:paraId="0DCD3EFC" w14:textId="77777777" w:rsidR="000139C7" w:rsidRDefault="002D77B1">
      <w:pPr>
        <w:spacing w:after="160"/>
        <w:jc w:val="both"/>
      </w:pPr>
      <w:r>
        <w:t>Este proyecto plantea la comparación de forma deliberadamente conservadora. Todo modelo debe ganarle a una referencia simple, en datos que no se usaron para construirlo, con pruebas estadísticas que tengan en cuenta la dependencia entre activos y el número de comparaciones. El objeto de estudio son nueve acciones colombianas, un mercado pequeño, con baja liquidez en varias emisoras, donde estas cuestiones son especialmente relevantes.</w:t>
      </w:r>
    </w:p>
    <w:p w14:paraId="15F6050B" w14:textId="77777777" w:rsidR="000139C7" w:rsidRDefault="002D77B1">
      <w:pPr>
        <w:spacing w:after="160"/>
        <w:jc w:val="both"/>
      </w:pPr>
      <w:r>
        <w:t>El trabajo se guió por siete reglas fijadas al inicio:</w:t>
      </w:r>
    </w:p>
    <w:p w14:paraId="1A2C3304" w14:textId="77777777" w:rsidR="000139C7" w:rsidRDefault="002D77B1">
      <w:pPr>
        <w:spacing w:after="80"/>
        <w:ind w:left="567" w:hanging="340"/>
      </w:pPr>
      <w:r>
        <w:t xml:space="preserve">1. </w:t>
      </w:r>
      <w:r>
        <w:t>Nunca mirar el futuro (sin fuga de información).</w:t>
      </w:r>
    </w:p>
    <w:p w14:paraId="2CADE6E3" w14:textId="77777777" w:rsidR="000139C7" w:rsidRDefault="002D77B1">
      <w:pPr>
        <w:spacing w:after="80"/>
        <w:ind w:left="567" w:hanging="340"/>
      </w:pPr>
      <w:r>
        <w:t>2. Nunca confiar ciegamente en una red neuronal: la IA tiene que demostrar que mejora algo.</w:t>
      </w:r>
    </w:p>
    <w:p w14:paraId="267F626A" w14:textId="77777777" w:rsidR="000139C7" w:rsidRDefault="002D77B1">
      <w:pPr>
        <w:spacing w:after="80"/>
        <w:ind w:left="567" w:hanging="340"/>
      </w:pPr>
      <w:r>
        <w:t>3. Siempre tener un modelo de referencia.</w:t>
      </w:r>
    </w:p>
    <w:p w14:paraId="7FEF4F13" w14:textId="77777777" w:rsidR="000139C7" w:rsidRDefault="002D77B1">
      <w:pPr>
        <w:spacing w:after="80"/>
        <w:ind w:left="567" w:hanging="340"/>
      </w:pPr>
      <w:r>
        <w:t>4. Predicción y rentabilidad no son lo mismo.</w:t>
      </w:r>
    </w:p>
    <w:p w14:paraId="1AB9928D" w14:textId="77777777" w:rsidR="000139C7" w:rsidRDefault="002D77B1">
      <w:pPr>
        <w:spacing w:after="80"/>
        <w:ind w:left="567" w:hanging="340"/>
      </w:pPr>
      <w:r>
        <w:t>5. No eliminar datos porque "se ven raros": primero investigar qué ocurrió.</w:t>
      </w:r>
    </w:p>
    <w:p w14:paraId="5C37EE6F" w14:textId="77777777" w:rsidR="000139C7" w:rsidRDefault="002D77B1">
      <w:pPr>
        <w:spacing w:after="80"/>
        <w:ind w:left="567" w:hanging="340"/>
      </w:pPr>
      <w:r>
        <w:t>6. La diversificación debe demostrarse, no asumirse.</w:t>
      </w:r>
    </w:p>
    <w:p w14:paraId="68C2EF8A" w14:textId="77777777" w:rsidR="000139C7" w:rsidRDefault="002D77B1">
      <w:pPr>
        <w:spacing w:after="80"/>
        <w:ind w:left="567" w:hanging="340"/>
      </w:pPr>
      <w:r>
        <w:t>7. El agente de IA ayuda, pero no reemplaza el criterio estadístico.</w:t>
      </w:r>
    </w:p>
    <w:p w14:paraId="196C6B75" w14:textId="77777777" w:rsidR="000139C7" w:rsidRDefault="002D77B1">
      <w:pPr>
        <w:spacing w:after="160"/>
        <w:jc w:val="both"/>
      </w:pPr>
      <w:r>
        <w:t>Cada decisión metodológica quedó registrada en un diario de decisiones (DEC-001 a DEC-044) y todo el código, los datos crudos y los resultados están versionados, de modo que cualquier cifra de este informe puede rastrearse hasta el código y los datos que la produjeron.</w:t>
      </w:r>
    </w:p>
    <w:p w14:paraId="6F6337AD" w14:textId="77777777" w:rsidR="000139C7" w:rsidRDefault="002D77B1">
      <w:pPr>
        <w:pStyle w:val="Ttulo1"/>
      </w:pPr>
      <w:bookmarkStart w:id="2" w:name="_Toc242139790"/>
      <w:r>
        <w:t>2. Problema y preguntas de investigación</w:t>
      </w:r>
      <w:bookmarkEnd w:id="2"/>
    </w:p>
    <w:p w14:paraId="4C5BCF53" w14:textId="77777777" w:rsidR="000139C7" w:rsidRDefault="002D77B1">
      <w:pPr>
        <w:spacing w:after="160"/>
        <w:jc w:val="both"/>
      </w:pPr>
      <w:r>
        <w:t>El problema general es construir y evaluar portafolios de acciones colombianas usando distintas familias de modelos, y determinar si la complejidad adicional aporta valor. Se formulan cinco preguntas:</w:t>
      </w:r>
    </w:p>
    <w:p w14:paraId="792D7725" w14:textId="77777777" w:rsidR="000139C7" w:rsidRDefault="002D77B1">
      <w:pPr>
        <w:pStyle w:val="Prrafodelista"/>
        <w:numPr>
          <w:ilvl w:val="0"/>
          <w:numId w:val="2"/>
        </w:numPr>
        <w:spacing w:after="80"/>
      </w:pPr>
      <w:r>
        <w:rPr>
          <w:b/>
          <w:bCs/>
        </w:rPr>
        <w:t>P1. Rendimiento:</w:t>
      </w:r>
      <w:r>
        <w:t xml:space="preserve"> ¿algún modelo pronostica el rendimiento diario de una acción mejor que su media histórica?</w:t>
      </w:r>
    </w:p>
    <w:p w14:paraId="6040B808" w14:textId="77777777" w:rsidR="000139C7" w:rsidRDefault="002D77B1">
      <w:pPr>
        <w:pStyle w:val="Prrafodelista"/>
        <w:numPr>
          <w:ilvl w:val="0"/>
          <w:numId w:val="2"/>
        </w:numPr>
        <w:spacing w:after="80"/>
      </w:pPr>
      <w:r>
        <w:rPr>
          <w:b/>
          <w:bCs/>
        </w:rPr>
        <w:t>P2. Volatilidad:</w:t>
      </w:r>
      <w:r>
        <w:t xml:space="preserve"> ¿qué modelo pronostica mejor la volatilidad diaria y semanal?</w:t>
      </w:r>
    </w:p>
    <w:p w14:paraId="2DE0F2D5" w14:textId="77777777" w:rsidR="000139C7" w:rsidRDefault="002D77B1">
      <w:pPr>
        <w:pStyle w:val="Prrafodelista"/>
        <w:numPr>
          <w:ilvl w:val="0"/>
          <w:numId w:val="2"/>
        </w:numPr>
        <w:spacing w:after="80"/>
      </w:pPr>
      <w:r>
        <w:rPr>
          <w:b/>
          <w:bCs/>
        </w:rPr>
        <w:t>P3. Riesgo:</w:t>
      </w:r>
      <w:r>
        <w:t xml:space="preserve"> ¿qué método de VaR y Expected Shortfall está mejor calibrado?</w:t>
      </w:r>
    </w:p>
    <w:p w14:paraId="29D0ACBF" w14:textId="77777777" w:rsidR="000139C7" w:rsidRDefault="002D77B1">
      <w:pPr>
        <w:pStyle w:val="Prrafodelista"/>
        <w:numPr>
          <w:ilvl w:val="0"/>
          <w:numId w:val="2"/>
        </w:numPr>
        <w:spacing w:after="80"/>
      </w:pPr>
      <w:r>
        <w:rPr>
          <w:b/>
          <w:bCs/>
        </w:rPr>
        <w:t>P4. Portafolios:</w:t>
      </w:r>
      <w:r>
        <w:t xml:space="preserve"> ¿las estrategias que optimizan el riesgo superan al portafolio de igual ponderación una vez se incluyen restricciones realistas y costos de transacción?</w:t>
      </w:r>
    </w:p>
    <w:p w14:paraId="457FED49" w14:textId="77777777" w:rsidR="000139C7" w:rsidRDefault="002D77B1">
      <w:pPr>
        <w:pStyle w:val="Prrafodelista"/>
        <w:numPr>
          <w:ilvl w:val="0"/>
          <w:numId w:val="2"/>
        </w:numPr>
        <w:spacing w:after="80"/>
      </w:pPr>
      <w:r>
        <w:rPr>
          <w:b/>
          <w:bCs/>
        </w:rPr>
        <w:t>P5. Agente de IA:</w:t>
      </w:r>
      <w:r>
        <w:t xml:space="preserve"> ¿puede un agente de IA asistir la investigación respetando las reglas metodológicas del proyecto?</w:t>
      </w:r>
    </w:p>
    <w:p w14:paraId="57BED173" w14:textId="77777777" w:rsidR="000139C7" w:rsidRDefault="002D77B1">
      <w:pPr>
        <w:spacing w:after="160"/>
        <w:jc w:val="both"/>
      </w:pPr>
      <w:r>
        <w:t>Las preguntas P1 a P4 se respondieron con una evaluación confirmatoria en el bloque de prueba (sección 12); la P5, con una evaluación propia del agente (sección 13).</w:t>
      </w:r>
    </w:p>
    <w:p w14:paraId="4E761101" w14:textId="77777777" w:rsidR="000139C7" w:rsidRDefault="002D77B1">
      <w:pPr>
        <w:pStyle w:val="Ttulo1"/>
      </w:pPr>
      <w:bookmarkStart w:id="3" w:name="_Toc242139791"/>
      <w:r>
        <w:lastRenderedPageBreak/>
        <w:t>3. Datos</w:t>
      </w:r>
      <w:bookmarkEnd w:id="3"/>
    </w:p>
    <w:p w14:paraId="2277203E" w14:textId="77777777" w:rsidR="000139C7" w:rsidRDefault="002D77B1">
      <w:pPr>
        <w:pStyle w:val="Ttulo2"/>
      </w:pPr>
      <w:bookmarkStart w:id="4" w:name="_Toc242139792"/>
      <w:r>
        <w:t>3.1 Fuente y universo</w:t>
      </w:r>
      <w:bookmarkEnd w:id="4"/>
    </w:p>
    <w:p w14:paraId="4F1CABEF" w14:textId="77777777" w:rsidR="000139C7" w:rsidRDefault="002D77B1">
      <w:pPr>
        <w:keepNext/>
        <w:spacing w:after="160"/>
        <w:jc w:val="both"/>
      </w:pPr>
      <w:r>
        <w:t>Se usaron precios diarios ajustados por dividendos y divisiones (</w:t>
      </w:r>
      <w:r>
        <w:rPr>
          <w:rFonts w:ascii="Consolas" w:eastAsia="Consolas" w:hAnsi="Consolas" w:cs="Consolas"/>
          <w:sz w:val="20"/>
          <w:szCs w:val="20"/>
        </w:rPr>
        <w:t>Adj Close</w:t>
      </w:r>
      <w:r>
        <w:t>) de Yahoo Finance para nueve acciones de la Bolsa de Valores de Colombia, entre el 2 de enero de 2020 y el 14 de septiembre de 2026 (1 724 días bursátiles). Una auditoría de los metadatos confirmó que los nueve símbolos corresponden al mercado colombiano y cotizan en pesos (DEC-010).</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7"/>
        <w:gridCol w:w="1943"/>
        <w:gridCol w:w="3780"/>
      </w:tblGrid>
      <w:tr w:rsidR="000139C7" w14:paraId="4B1FC755" w14:textId="77777777">
        <w:tblPrEx>
          <w:tblCellMar>
            <w:top w:w="0" w:type="dxa"/>
            <w:bottom w:w="0" w:type="dxa"/>
          </w:tblCellMar>
        </w:tblPrEx>
        <w:trPr>
          <w:tblHeader/>
        </w:trPr>
        <w:tc>
          <w:tcPr>
            <w:tcW w:w="3347"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19FCDF9F" w14:textId="77777777" w:rsidR="000139C7" w:rsidRDefault="002D77B1">
            <w:pPr>
              <w:spacing w:line="252" w:lineRule="auto"/>
            </w:pPr>
            <w:r>
              <w:rPr>
                <w:b/>
                <w:bCs/>
                <w:sz w:val="18"/>
                <w:szCs w:val="18"/>
              </w:rPr>
              <w:t>Empresa</w:t>
            </w:r>
          </w:p>
        </w:tc>
        <w:tc>
          <w:tcPr>
            <w:tcW w:w="1943"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151B8A8A" w14:textId="77777777" w:rsidR="000139C7" w:rsidRDefault="002D77B1">
            <w:pPr>
              <w:spacing w:line="252" w:lineRule="auto"/>
              <w:jc w:val="center"/>
            </w:pPr>
            <w:r>
              <w:rPr>
                <w:b/>
                <w:bCs/>
                <w:sz w:val="18"/>
                <w:szCs w:val="18"/>
              </w:rPr>
              <w:t>Sector</w:t>
            </w:r>
          </w:p>
        </w:tc>
        <w:tc>
          <w:tcPr>
            <w:tcW w:w="3780"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5C9E9750" w14:textId="77777777" w:rsidR="000139C7" w:rsidRDefault="002D77B1">
            <w:pPr>
              <w:spacing w:line="252" w:lineRule="auto"/>
              <w:jc w:val="center"/>
            </w:pPr>
            <w:r>
              <w:rPr>
                <w:b/>
                <w:bCs/>
                <w:sz w:val="18"/>
                <w:szCs w:val="18"/>
              </w:rPr>
              <w:t>Liquidez (entrenamiento)</w:t>
            </w:r>
          </w:p>
        </w:tc>
      </w:tr>
      <w:tr w:rsidR="000139C7" w14:paraId="75D918D1" w14:textId="77777777">
        <w:tblPrEx>
          <w:tblCellMar>
            <w:top w:w="0" w:type="dxa"/>
            <w:bottom w:w="0" w:type="dxa"/>
          </w:tblCellMar>
        </w:tblPrEx>
        <w:tc>
          <w:tcPr>
            <w:tcW w:w="33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2ED79B" w14:textId="77777777" w:rsidR="000139C7" w:rsidRDefault="002D77B1">
            <w:pPr>
              <w:spacing w:line="252" w:lineRule="auto"/>
            </w:pPr>
            <w:r>
              <w:rPr>
                <w:sz w:val="18"/>
                <w:szCs w:val="18"/>
              </w:rPr>
              <w:t>Ecopetrol</w:t>
            </w:r>
          </w:p>
        </w:tc>
        <w:tc>
          <w:tcPr>
            <w:tcW w:w="19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1212FA" w14:textId="77777777" w:rsidR="000139C7" w:rsidRDefault="002D77B1">
            <w:pPr>
              <w:spacing w:line="252" w:lineRule="auto"/>
              <w:jc w:val="center"/>
            </w:pPr>
            <w:r>
              <w:rPr>
                <w:sz w:val="18"/>
                <w:szCs w:val="18"/>
              </w:rPr>
              <w:t>Petróleo y gas</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6EC71B" w14:textId="77777777" w:rsidR="000139C7" w:rsidRDefault="002D77B1">
            <w:pPr>
              <w:spacing w:line="252" w:lineRule="auto"/>
              <w:jc w:val="center"/>
            </w:pPr>
            <w:r>
              <w:rPr>
                <w:sz w:val="18"/>
                <w:szCs w:val="18"/>
              </w:rPr>
              <w:t>Líquida (11,0 % de días sin cambio)</w:t>
            </w:r>
          </w:p>
        </w:tc>
      </w:tr>
      <w:tr w:rsidR="000139C7" w14:paraId="752C48E1" w14:textId="77777777">
        <w:tblPrEx>
          <w:tblCellMar>
            <w:top w:w="0" w:type="dxa"/>
            <w:bottom w:w="0" w:type="dxa"/>
          </w:tblCellMar>
        </w:tblPrEx>
        <w:tc>
          <w:tcPr>
            <w:tcW w:w="33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9A0B1B" w14:textId="77777777" w:rsidR="000139C7" w:rsidRDefault="002D77B1">
            <w:pPr>
              <w:spacing w:line="252" w:lineRule="auto"/>
            </w:pPr>
            <w:r>
              <w:rPr>
                <w:sz w:val="18"/>
                <w:szCs w:val="18"/>
              </w:rPr>
              <w:t>Celsia</w:t>
            </w:r>
          </w:p>
        </w:tc>
        <w:tc>
          <w:tcPr>
            <w:tcW w:w="19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A8C3FB" w14:textId="77777777" w:rsidR="000139C7" w:rsidRDefault="002D77B1">
            <w:pPr>
              <w:spacing w:line="252" w:lineRule="auto"/>
              <w:jc w:val="center"/>
            </w:pPr>
            <w:r>
              <w:rPr>
                <w:sz w:val="18"/>
                <w:szCs w:val="18"/>
              </w:rPr>
              <w:t>Servicios públicos</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733E5E" w14:textId="77777777" w:rsidR="000139C7" w:rsidRDefault="002D77B1">
            <w:pPr>
              <w:spacing w:line="252" w:lineRule="auto"/>
              <w:jc w:val="center"/>
            </w:pPr>
            <w:r>
              <w:rPr>
                <w:sz w:val="18"/>
                <w:szCs w:val="18"/>
              </w:rPr>
              <w:t>Líquida (13,3 %)</w:t>
            </w:r>
          </w:p>
        </w:tc>
      </w:tr>
      <w:tr w:rsidR="000139C7" w14:paraId="0CFEF91E" w14:textId="77777777">
        <w:tblPrEx>
          <w:tblCellMar>
            <w:top w:w="0" w:type="dxa"/>
            <w:bottom w:w="0" w:type="dxa"/>
          </w:tblCellMar>
        </w:tblPrEx>
        <w:tc>
          <w:tcPr>
            <w:tcW w:w="33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F4CA70" w14:textId="77777777" w:rsidR="000139C7" w:rsidRDefault="002D77B1">
            <w:pPr>
              <w:spacing w:line="252" w:lineRule="auto"/>
            </w:pPr>
            <w:r>
              <w:rPr>
                <w:sz w:val="18"/>
                <w:szCs w:val="18"/>
              </w:rPr>
              <w:t>Banco Davivienda (preferencial)</w:t>
            </w:r>
          </w:p>
        </w:tc>
        <w:tc>
          <w:tcPr>
            <w:tcW w:w="19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06F757" w14:textId="77777777" w:rsidR="000139C7" w:rsidRDefault="002D77B1">
            <w:pPr>
              <w:spacing w:line="252" w:lineRule="auto"/>
              <w:jc w:val="center"/>
            </w:pPr>
            <w:r>
              <w:rPr>
                <w:sz w:val="18"/>
                <w:szCs w:val="18"/>
              </w:rPr>
              <w:t>Financiero</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4B977A" w14:textId="77777777" w:rsidR="000139C7" w:rsidRDefault="002D77B1">
            <w:pPr>
              <w:spacing w:line="252" w:lineRule="auto"/>
              <w:jc w:val="center"/>
            </w:pPr>
            <w:r>
              <w:rPr>
                <w:sz w:val="18"/>
                <w:szCs w:val="18"/>
              </w:rPr>
              <w:t>Líquida (14,8 %)</w:t>
            </w:r>
          </w:p>
        </w:tc>
      </w:tr>
      <w:tr w:rsidR="000139C7" w14:paraId="000F0E40" w14:textId="77777777">
        <w:tblPrEx>
          <w:tblCellMar>
            <w:top w:w="0" w:type="dxa"/>
            <w:bottom w:w="0" w:type="dxa"/>
          </w:tblCellMar>
        </w:tblPrEx>
        <w:tc>
          <w:tcPr>
            <w:tcW w:w="33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A7A68D" w14:textId="77777777" w:rsidR="000139C7" w:rsidRDefault="002D77B1">
            <w:pPr>
              <w:spacing w:line="252" w:lineRule="auto"/>
            </w:pPr>
            <w:r>
              <w:rPr>
                <w:sz w:val="18"/>
                <w:szCs w:val="18"/>
              </w:rPr>
              <w:t>Banco de Bogotá</w:t>
            </w:r>
          </w:p>
        </w:tc>
        <w:tc>
          <w:tcPr>
            <w:tcW w:w="19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AD40F8" w14:textId="77777777" w:rsidR="000139C7" w:rsidRDefault="002D77B1">
            <w:pPr>
              <w:spacing w:line="252" w:lineRule="auto"/>
              <w:jc w:val="center"/>
            </w:pPr>
            <w:r>
              <w:rPr>
                <w:sz w:val="18"/>
                <w:szCs w:val="18"/>
              </w:rPr>
              <w:t>Financiero</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A24A74" w14:textId="77777777" w:rsidR="000139C7" w:rsidRDefault="002D77B1">
            <w:pPr>
              <w:spacing w:line="252" w:lineRule="auto"/>
              <w:jc w:val="center"/>
            </w:pPr>
            <w:r>
              <w:rPr>
                <w:sz w:val="18"/>
                <w:szCs w:val="18"/>
              </w:rPr>
              <w:t>Líquida (19,0 %)</w:t>
            </w:r>
          </w:p>
        </w:tc>
      </w:tr>
      <w:tr w:rsidR="000139C7" w14:paraId="18B64298" w14:textId="77777777">
        <w:tblPrEx>
          <w:tblCellMar>
            <w:top w:w="0" w:type="dxa"/>
            <w:bottom w:w="0" w:type="dxa"/>
          </w:tblCellMar>
        </w:tblPrEx>
        <w:tc>
          <w:tcPr>
            <w:tcW w:w="33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A25303" w14:textId="77777777" w:rsidR="000139C7" w:rsidRDefault="002D77B1">
            <w:pPr>
              <w:spacing w:line="252" w:lineRule="auto"/>
            </w:pPr>
            <w:r>
              <w:rPr>
                <w:sz w:val="18"/>
                <w:szCs w:val="18"/>
              </w:rPr>
              <w:t>Mineros</w:t>
            </w:r>
          </w:p>
        </w:tc>
        <w:tc>
          <w:tcPr>
            <w:tcW w:w="19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5788E9" w14:textId="77777777" w:rsidR="000139C7" w:rsidRDefault="002D77B1">
            <w:pPr>
              <w:spacing w:line="252" w:lineRule="auto"/>
              <w:jc w:val="center"/>
            </w:pPr>
            <w:r>
              <w:rPr>
                <w:sz w:val="18"/>
                <w:szCs w:val="18"/>
              </w:rPr>
              <w:t>Minería</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2C2C8E" w14:textId="77777777" w:rsidR="000139C7" w:rsidRDefault="002D77B1">
            <w:pPr>
              <w:spacing w:line="252" w:lineRule="auto"/>
              <w:jc w:val="center"/>
            </w:pPr>
            <w:r>
              <w:rPr>
                <w:sz w:val="18"/>
                <w:szCs w:val="18"/>
              </w:rPr>
              <w:t>Ilíquida (20,2 %)</w:t>
            </w:r>
          </w:p>
        </w:tc>
      </w:tr>
      <w:tr w:rsidR="000139C7" w14:paraId="09E6C6FD" w14:textId="77777777">
        <w:tblPrEx>
          <w:tblCellMar>
            <w:top w:w="0" w:type="dxa"/>
            <w:bottom w:w="0" w:type="dxa"/>
          </w:tblCellMar>
        </w:tblPrEx>
        <w:tc>
          <w:tcPr>
            <w:tcW w:w="33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257033" w14:textId="77777777" w:rsidR="000139C7" w:rsidRDefault="002D77B1">
            <w:pPr>
              <w:spacing w:line="252" w:lineRule="auto"/>
            </w:pPr>
            <w:r>
              <w:rPr>
                <w:sz w:val="18"/>
                <w:szCs w:val="18"/>
              </w:rPr>
              <w:t>Nutresa</w:t>
            </w:r>
          </w:p>
        </w:tc>
        <w:tc>
          <w:tcPr>
            <w:tcW w:w="19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4E2A18" w14:textId="77777777" w:rsidR="000139C7" w:rsidRDefault="002D77B1">
            <w:pPr>
              <w:spacing w:line="252" w:lineRule="auto"/>
              <w:jc w:val="center"/>
            </w:pPr>
            <w:r>
              <w:rPr>
                <w:sz w:val="18"/>
                <w:szCs w:val="18"/>
              </w:rPr>
              <w:t>Consumo</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1C531" w14:textId="77777777" w:rsidR="000139C7" w:rsidRDefault="002D77B1">
            <w:pPr>
              <w:spacing w:line="252" w:lineRule="auto"/>
              <w:jc w:val="center"/>
            </w:pPr>
            <w:r>
              <w:rPr>
                <w:sz w:val="18"/>
                <w:szCs w:val="18"/>
              </w:rPr>
              <w:t>Ilíquida (20,7 %)</w:t>
            </w:r>
          </w:p>
        </w:tc>
      </w:tr>
      <w:tr w:rsidR="000139C7" w14:paraId="14FCDDDD" w14:textId="77777777">
        <w:tblPrEx>
          <w:tblCellMar>
            <w:top w:w="0" w:type="dxa"/>
            <w:bottom w:w="0" w:type="dxa"/>
          </w:tblCellMar>
        </w:tblPrEx>
        <w:tc>
          <w:tcPr>
            <w:tcW w:w="33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6C97BF" w14:textId="77777777" w:rsidR="000139C7" w:rsidRDefault="002D77B1">
            <w:pPr>
              <w:spacing w:line="252" w:lineRule="auto"/>
            </w:pPr>
            <w:r>
              <w:rPr>
                <w:sz w:val="18"/>
                <w:szCs w:val="18"/>
              </w:rPr>
              <w:t>Promigas</w:t>
            </w:r>
          </w:p>
        </w:tc>
        <w:tc>
          <w:tcPr>
            <w:tcW w:w="19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06714C" w14:textId="77777777" w:rsidR="000139C7" w:rsidRDefault="002D77B1">
            <w:pPr>
              <w:spacing w:line="252" w:lineRule="auto"/>
              <w:jc w:val="center"/>
            </w:pPr>
            <w:r>
              <w:rPr>
                <w:sz w:val="18"/>
                <w:szCs w:val="18"/>
              </w:rPr>
              <w:t>Servicios públicos</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3554A4" w14:textId="77777777" w:rsidR="000139C7" w:rsidRDefault="002D77B1">
            <w:pPr>
              <w:spacing w:line="252" w:lineRule="auto"/>
              <w:jc w:val="center"/>
            </w:pPr>
            <w:r>
              <w:rPr>
                <w:sz w:val="18"/>
                <w:szCs w:val="18"/>
              </w:rPr>
              <w:t>Ilíquida (32,4 %)</w:t>
            </w:r>
          </w:p>
        </w:tc>
      </w:tr>
      <w:tr w:rsidR="000139C7" w14:paraId="30DBE0BF" w14:textId="77777777">
        <w:tblPrEx>
          <w:tblCellMar>
            <w:top w:w="0" w:type="dxa"/>
            <w:bottom w:w="0" w:type="dxa"/>
          </w:tblCellMar>
        </w:tblPrEx>
        <w:tc>
          <w:tcPr>
            <w:tcW w:w="33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D8294C" w14:textId="77777777" w:rsidR="000139C7" w:rsidRDefault="002D77B1">
            <w:pPr>
              <w:spacing w:line="252" w:lineRule="auto"/>
            </w:pPr>
            <w:r>
              <w:rPr>
                <w:sz w:val="18"/>
                <w:szCs w:val="18"/>
              </w:rPr>
              <w:t>Grupo Bolívar</w:t>
            </w:r>
          </w:p>
        </w:tc>
        <w:tc>
          <w:tcPr>
            <w:tcW w:w="19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B5236C" w14:textId="77777777" w:rsidR="000139C7" w:rsidRDefault="002D77B1">
            <w:pPr>
              <w:spacing w:line="252" w:lineRule="auto"/>
              <w:jc w:val="center"/>
            </w:pPr>
            <w:r>
              <w:rPr>
                <w:sz w:val="18"/>
                <w:szCs w:val="18"/>
              </w:rPr>
              <w:t>Financiero</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1CC5C4" w14:textId="77777777" w:rsidR="000139C7" w:rsidRDefault="002D77B1">
            <w:pPr>
              <w:spacing w:line="252" w:lineRule="auto"/>
              <w:jc w:val="center"/>
            </w:pPr>
            <w:r>
              <w:rPr>
                <w:sz w:val="18"/>
                <w:szCs w:val="18"/>
              </w:rPr>
              <w:t>Ilíquida (34,4 %)</w:t>
            </w:r>
          </w:p>
        </w:tc>
      </w:tr>
      <w:tr w:rsidR="000139C7" w14:paraId="1FEBF7B5" w14:textId="77777777">
        <w:tblPrEx>
          <w:tblCellMar>
            <w:top w:w="0" w:type="dxa"/>
            <w:bottom w:w="0" w:type="dxa"/>
          </w:tblCellMar>
        </w:tblPrEx>
        <w:tc>
          <w:tcPr>
            <w:tcW w:w="33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49D2A1" w14:textId="77777777" w:rsidR="000139C7" w:rsidRDefault="002D77B1">
            <w:pPr>
              <w:spacing w:line="252" w:lineRule="auto"/>
            </w:pPr>
            <w:r>
              <w:rPr>
                <w:sz w:val="18"/>
                <w:szCs w:val="18"/>
              </w:rPr>
              <w:t>ETB</w:t>
            </w:r>
          </w:p>
        </w:tc>
        <w:tc>
          <w:tcPr>
            <w:tcW w:w="19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22631F" w14:textId="77777777" w:rsidR="000139C7" w:rsidRDefault="002D77B1">
            <w:pPr>
              <w:spacing w:line="252" w:lineRule="auto"/>
              <w:jc w:val="center"/>
            </w:pPr>
            <w:r>
              <w:rPr>
                <w:sz w:val="18"/>
                <w:szCs w:val="18"/>
              </w:rPr>
              <w:t>Telecomunicaciones</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41872F" w14:textId="77777777" w:rsidR="000139C7" w:rsidRDefault="002D77B1">
            <w:pPr>
              <w:spacing w:line="252" w:lineRule="auto"/>
              <w:jc w:val="center"/>
            </w:pPr>
            <w:r>
              <w:rPr>
                <w:sz w:val="18"/>
                <w:szCs w:val="18"/>
              </w:rPr>
              <w:t>Ilíquida (45,3 %)</w:t>
            </w:r>
          </w:p>
        </w:tc>
      </w:tr>
    </w:tbl>
    <w:p w14:paraId="3A8AA83B" w14:textId="77777777" w:rsidR="000139C7" w:rsidRDefault="000139C7">
      <w:pPr>
        <w:spacing w:after="120"/>
      </w:pPr>
    </w:p>
    <w:p w14:paraId="7464B23A" w14:textId="77777777" w:rsidR="000139C7" w:rsidRDefault="002D77B1">
      <w:pPr>
        <w:spacing w:after="160"/>
        <w:jc w:val="both"/>
      </w:pPr>
      <w:r>
        <w:t xml:space="preserve">Una acción se clasificó como ilíquida si más del 20 % de sus rendimientos diarios de entrenamiento eran exactamente cero (días sin negociación o sin cambio de precio). La clasificación se hizo solo con entrenamiento y quedó fija para todo el estudio; Mineros y Nutresa están cerca del umbral (DEC-020). Se trabajó con dos universos: las </w:t>
      </w:r>
      <w:r>
        <w:rPr>
          <w:b/>
          <w:bCs/>
        </w:rPr>
        <w:t>9 empresas</w:t>
      </w:r>
      <w:r>
        <w:t xml:space="preserve"> y las </w:t>
      </w:r>
      <w:r>
        <w:rPr>
          <w:b/>
          <w:bCs/>
        </w:rPr>
        <w:t>4 líquidas</w:t>
      </w:r>
      <w:r>
        <w:t>.</w:t>
      </w:r>
    </w:p>
    <w:p w14:paraId="56165042" w14:textId="77777777" w:rsidR="000139C7" w:rsidRDefault="002D77B1">
      <w:pPr>
        <w:spacing w:after="160"/>
        <w:jc w:val="both"/>
      </w:pPr>
      <w:r>
        <w:t xml:space="preserve">Como variables externas se usaron la tasa de cambio (TRM) y el precio del petróleo Brent (Yahoo Finance) y, como tasa libre de riesgo, el </w:t>
      </w:r>
      <w:r>
        <w:rPr>
          <w:b/>
          <w:bCs/>
        </w:rPr>
        <w:t>IBR overnight</w:t>
      </w:r>
      <w:r>
        <w:t xml:space="preserve"> del Banco de la República, convertido a tasa efectiva anual (DEC-024, DEC-031).</w:t>
      </w:r>
    </w:p>
    <w:p w14:paraId="3111D11D" w14:textId="77777777" w:rsidR="000139C7" w:rsidRDefault="002D77B1">
      <w:pPr>
        <w:pStyle w:val="Ttulo2"/>
      </w:pPr>
      <w:bookmarkStart w:id="5" w:name="_Toc242139793"/>
      <w:r>
        <w:t>3.2 Calidad de los datos</w:t>
      </w:r>
      <w:bookmarkEnd w:id="5"/>
    </w:p>
    <w:p w14:paraId="139016E9" w14:textId="77777777" w:rsidR="000139C7" w:rsidRDefault="002D77B1">
      <w:pPr>
        <w:spacing w:after="160"/>
        <w:jc w:val="both"/>
      </w:pPr>
      <w:r>
        <w:t>Los datos crudos se conservaron sin modificar y todas las transformaciones produjeron archivos nuevos con banderas de trazabilidad (DEC-007, DEC-016). Tres hallazgos de calidad requirieron decisiones:</w:t>
      </w:r>
    </w:p>
    <w:p w14:paraId="19CBA62A" w14:textId="77777777" w:rsidR="000139C7" w:rsidRDefault="002D77B1">
      <w:pPr>
        <w:pStyle w:val="Prrafodelista"/>
        <w:numPr>
          <w:ilvl w:val="0"/>
          <w:numId w:val="2"/>
        </w:numPr>
        <w:spacing w:after="80"/>
      </w:pPr>
      <w:r>
        <w:rPr>
          <w:b/>
          <w:bCs/>
        </w:rPr>
        <w:t>Un valor faltante</w:t>
      </w:r>
      <w:r>
        <w:t xml:space="preserve"> (Grupo Bolívar, 10 de marzo de 2026) se imputó con un modelo de nivel local estimado con el filtro y el suavizado de Kalman, con bandera. En una prueba de validación, al ocultar valores reales, el error relativo fue de 0,8 % a 1,5 %. Como el suavizado usa información posterior, se prohibió su uso en predicción en tiempo real (DEC-012 a DEC-015).</w:t>
      </w:r>
    </w:p>
    <w:p w14:paraId="34B2519B" w14:textId="77777777" w:rsidR="000139C7" w:rsidRDefault="002D77B1">
      <w:pPr>
        <w:pStyle w:val="Prrafodelista"/>
        <w:numPr>
          <w:ilvl w:val="0"/>
          <w:numId w:val="2"/>
        </w:numPr>
        <w:spacing w:after="80"/>
      </w:pPr>
      <w:r>
        <w:rPr>
          <w:b/>
          <w:bCs/>
        </w:rPr>
        <w:t>Un precio inválido de la fuente el 3 de mayo de 2024.</w:t>
      </w:r>
      <w:r>
        <w:t xml:space="preserve"> Ese día las nueve acciones muestran un salto de entre 5 % y 26 % que se revierte por completo al día siguiente. Es el único día de entrenamiento y validación con ese patrón en dos o más acciones. El ADR de Ecopetrol en Nueva York, una segunda fuente, varió apenas −0,4 % ese día, frente al −6,0 % del dato local. El precio se anuló en la capa procesada y el rendimiento del día siguiente se calculó sobre dos días (DEC-018, DEC-022).</w:t>
      </w:r>
    </w:p>
    <w:p w14:paraId="37F17190" w14:textId="77777777" w:rsidR="000139C7" w:rsidRDefault="002D77B1">
      <w:pPr>
        <w:pStyle w:val="Prrafodelista"/>
        <w:numPr>
          <w:ilvl w:val="0"/>
          <w:numId w:val="2"/>
        </w:numPr>
        <w:spacing w:after="80"/>
      </w:pPr>
      <w:r>
        <w:rPr>
          <w:b/>
          <w:bCs/>
        </w:rPr>
        <w:lastRenderedPageBreak/>
        <w:t>Iliquidez:</w:t>
      </w:r>
      <w:r>
        <w:t xml:space="preserve"> entre 115 y 206 días con volumen cero por acción. Corresponden a días sin negociación, no a errores, y se conservaron (DEC-011).</w:t>
      </w:r>
    </w:p>
    <w:p w14:paraId="449E7B60" w14:textId="77777777" w:rsidR="000139C7" w:rsidRDefault="002D77B1">
      <w:pPr>
        <w:spacing w:after="160"/>
        <w:jc w:val="both"/>
      </w:pPr>
      <w:r>
        <w:t>Antes de abrir el bloque de prueba se fijó una regla mecánica para detectar en él fechas con el mismo patrón que el 3 de mayo de 2024. La regla detectó tres fechas (19 de febrero de 2025, 3 de diciembre de 2025 y 20 de marzo de 2026), que en el análisis principal se trataron igual. Todos los resultados de la prueba se reportan también sin ese tratamiento (DEC-034).</w:t>
      </w:r>
    </w:p>
    <w:p w14:paraId="0EEFF875" w14:textId="77777777" w:rsidR="000139C7" w:rsidRDefault="002D77B1">
      <w:pPr>
        <w:pStyle w:val="Ttulo2"/>
      </w:pPr>
      <w:bookmarkStart w:id="6" w:name="_Toc242139794"/>
      <w:r>
        <w:t>3.3 Partición temporal</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4"/>
        <w:gridCol w:w="2343"/>
        <w:gridCol w:w="815"/>
        <w:gridCol w:w="4588"/>
      </w:tblGrid>
      <w:tr w:rsidR="000139C7" w14:paraId="23DDFF85" w14:textId="77777777">
        <w:tblPrEx>
          <w:tblCellMar>
            <w:top w:w="0" w:type="dxa"/>
            <w:bottom w:w="0" w:type="dxa"/>
          </w:tblCellMar>
        </w:tblPrEx>
        <w:trPr>
          <w:tblHeader/>
        </w:trPr>
        <w:tc>
          <w:tcPr>
            <w:tcW w:w="1324"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271B472B" w14:textId="77777777" w:rsidR="000139C7" w:rsidRDefault="002D77B1">
            <w:pPr>
              <w:spacing w:line="252" w:lineRule="auto"/>
            </w:pPr>
            <w:r>
              <w:rPr>
                <w:b/>
                <w:bCs/>
                <w:sz w:val="18"/>
                <w:szCs w:val="18"/>
              </w:rPr>
              <w:t>Bloque</w:t>
            </w:r>
          </w:p>
        </w:tc>
        <w:tc>
          <w:tcPr>
            <w:tcW w:w="2343"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5C860BF8" w14:textId="77777777" w:rsidR="000139C7" w:rsidRDefault="002D77B1">
            <w:pPr>
              <w:spacing w:line="252" w:lineRule="auto"/>
              <w:jc w:val="center"/>
            </w:pPr>
            <w:r>
              <w:rPr>
                <w:b/>
                <w:bCs/>
                <w:sz w:val="18"/>
                <w:szCs w:val="18"/>
              </w:rPr>
              <w:t>Periodo</w:t>
            </w:r>
          </w:p>
        </w:tc>
        <w:tc>
          <w:tcPr>
            <w:tcW w:w="815"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1D8610A6" w14:textId="77777777" w:rsidR="000139C7" w:rsidRDefault="002D77B1">
            <w:pPr>
              <w:spacing w:line="252" w:lineRule="auto"/>
              <w:jc w:val="center"/>
            </w:pPr>
            <w:r>
              <w:rPr>
                <w:b/>
                <w:bCs/>
                <w:sz w:val="18"/>
                <w:szCs w:val="18"/>
              </w:rPr>
              <w:t>Días</w:t>
            </w:r>
          </w:p>
        </w:tc>
        <w:tc>
          <w:tcPr>
            <w:tcW w:w="4588"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3B3964D4" w14:textId="77777777" w:rsidR="000139C7" w:rsidRDefault="002D77B1">
            <w:pPr>
              <w:spacing w:line="252" w:lineRule="auto"/>
              <w:jc w:val="center"/>
            </w:pPr>
            <w:r>
              <w:rPr>
                <w:b/>
                <w:bCs/>
                <w:sz w:val="18"/>
                <w:szCs w:val="18"/>
              </w:rPr>
              <w:t>Uso</w:t>
            </w:r>
          </w:p>
        </w:tc>
      </w:tr>
      <w:tr w:rsidR="000139C7" w14:paraId="078AC8F1" w14:textId="77777777">
        <w:tblPrEx>
          <w:tblCellMar>
            <w:top w:w="0" w:type="dxa"/>
            <w:bottom w:w="0" w:type="dxa"/>
          </w:tblCellMar>
        </w:tblPrEx>
        <w:tc>
          <w:tcPr>
            <w:tcW w:w="13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A05761" w14:textId="77777777" w:rsidR="000139C7" w:rsidRDefault="002D77B1">
            <w:pPr>
              <w:spacing w:line="252" w:lineRule="auto"/>
            </w:pPr>
            <w:r>
              <w:rPr>
                <w:sz w:val="18"/>
                <w:szCs w:val="18"/>
              </w:rPr>
              <w:t>Entrenamiento</w:t>
            </w:r>
          </w:p>
        </w:tc>
        <w:tc>
          <w:tcPr>
            <w:tcW w:w="2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44D159" w14:textId="77777777" w:rsidR="000139C7" w:rsidRDefault="002D77B1">
            <w:pPr>
              <w:spacing w:line="252" w:lineRule="auto"/>
              <w:jc w:val="center"/>
            </w:pPr>
            <w:r>
              <w:rPr>
                <w:sz w:val="18"/>
                <w:szCs w:val="18"/>
              </w:rPr>
              <w:t>2020-01-02 a 2023-12-29</w:t>
            </w:r>
          </w:p>
        </w:tc>
        <w:tc>
          <w:tcPr>
            <w:tcW w:w="8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200426" w14:textId="77777777" w:rsidR="000139C7" w:rsidRDefault="002D77B1">
            <w:pPr>
              <w:spacing w:line="252" w:lineRule="auto"/>
              <w:jc w:val="center"/>
            </w:pPr>
            <w:r>
              <w:rPr>
                <w:sz w:val="18"/>
                <w:szCs w:val="18"/>
              </w:rPr>
              <w:t>1 043</w:t>
            </w:r>
          </w:p>
        </w:tc>
        <w:tc>
          <w:tcPr>
            <w:tcW w:w="45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4BDDD9" w14:textId="77777777" w:rsidR="000139C7" w:rsidRDefault="002D77B1">
            <w:pPr>
              <w:spacing w:line="252" w:lineRule="auto"/>
              <w:jc w:val="center"/>
            </w:pPr>
            <w:r>
              <w:rPr>
                <w:sz w:val="18"/>
                <w:szCs w:val="18"/>
              </w:rPr>
              <w:t>Estimar parámetros, transformaciones e hiperparámetros</w:t>
            </w:r>
          </w:p>
        </w:tc>
      </w:tr>
      <w:tr w:rsidR="000139C7" w14:paraId="4E65F397" w14:textId="77777777">
        <w:tblPrEx>
          <w:tblCellMar>
            <w:top w:w="0" w:type="dxa"/>
            <w:bottom w:w="0" w:type="dxa"/>
          </w:tblCellMar>
        </w:tblPrEx>
        <w:tc>
          <w:tcPr>
            <w:tcW w:w="13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4B89BC" w14:textId="77777777" w:rsidR="000139C7" w:rsidRDefault="002D77B1">
            <w:pPr>
              <w:spacing w:line="252" w:lineRule="auto"/>
            </w:pPr>
            <w:r>
              <w:rPr>
                <w:sz w:val="18"/>
                <w:szCs w:val="18"/>
              </w:rPr>
              <w:t>Validación</w:t>
            </w:r>
          </w:p>
        </w:tc>
        <w:tc>
          <w:tcPr>
            <w:tcW w:w="2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EFD660" w14:textId="77777777" w:rsidR="000139C7" w:rsidRDefault="002D77B1">
            <w:pPr>
              <w:spacing w:line="252" w:lineRule="auto"/>
              <w:jc w:val="center"/>
            </w:pPr>
            <w:r>
              <w:rPr>
                <w:sz w:val="18"/>
                <w:szCs w:val="18"/>
              </w:rPr>
              <w:t>2024</w:t>
            </w:r>
          </w:p>
        </w:tc>
        <w:tc>
          <w:tcPr>
            <w:tcW w:w="8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FFFC10" w14:textId="77777777" w:rsidR="000139C7" w:rsidRDefault="002D77B1">
            <w:pPr>
              <w:spacing w:line="252" w:lineRule="auto"/>
              <w:jc w:val="center"/>
            </w:pPr>
            <w:r>
              <w:rPr>
                <w:sz w:val="18"/>
                <w:szCs w:val="18"/>
              </w:rPr>
              <w:t>255</w:t>
            </w:r>
          </w:p>
        </w:tc>
        <w:tc>
          <w:tcPr>
            <w:tcW w:w="45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75CDD2" w14:textId="77777777" w:rsidR="000139C7" w:rsidRDefault="002D77B1">
            <w:pPr>
              <w:spacing w:line="252" w:lineRule="auto"/>
              <w:jc w:val="center"/>
            </w:pPr>
            <w:r>
              <w:rPr>
                <w:sz w:val="18"/>
                <w:szCs w:val="18"/>
              </w:rPr>
              <w:t>Comparar y elegir modelos</w:t>
            </w:r>
          </w:p>
        </w:tc>
      </w:tr>
      <w:tr w:rsidR="000139C7" w14:paraId="62893767" w14:textId="77777777">
        <w:tblPrEx>
          <w:tblCellMar>
            <w:top w:w="0" w:type="dxa"/>
            <w:bottom w:w="0" w:type="dxa"/>
          </w:tblCellMar>
        </w:tblPrEx>
        <w:tc>
          <w:tcPr>
            <w:tcW w:w="13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3EBCE6" w14:textId="77777777" w:rsidR="000139C7" w:rsidRDefault="002D77B1">
            <w:pPr>
              <w:spacing w:line="252" w:lineRule="auto"/>
            </w:pPr>
            <w:r>
              <w:rPr>
                <w:sz w:val="18"/>
                <w:szCs w:val="18"/>
              </w:rPr>
              <w:t>Prueba</w:t>
            </w:r>
          </w:p>
        </w:tc>
        <w:tc>
          <w:tcPr>
            <w:tcW w:w="2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E1A39D" w14:textId="77777777" w:rsidR="000139C7" w:rsidRDefault="002D77B1">
            <w:pPr>
              <w:spacing w:line="252" w:lineRule="auto"/>
              <w:jc w:val="center"/>
            </w:pPr>
            <w:r>
              <w:rPr>
                <w:sz w:val="18"/>
                <w:szCs w:val="18"/>
              </w:rPr>
              <w:t>2025-01-02 a 2026-09-14</w:t>
            </w:r>
          </w:p>
        </w:tc>
        <w:tc>
          <w:tcPr>
            <w:tcW w:w="8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4E92A1" w14:textId="77777777" w:rsidR="000139C7" w:rsidRDefault="002D77B1">
            <w:pPr>
              <w:spacing w:line="252" w:lineRule="auto"/>
              <w:jc w:val="center"/>
            </w:pPr>
            <w:r>
              <w:rPr>
                <w:sz w:val="18"/>
                <w:szCs w:val="18"/>
              </w:rPr>
              <w:t>426</w:t>
            </w:r>
          </w:p>
        </w:tc>
        <w:tc>
          <w:tcPr>
            <w:tcW w:w="45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5C071A" w14:textId="77777777" w:rsidR="000139C7" w:rsidRDefault="002D77B1">
            <w:pPr>
              <w:spacing w:line="252" w:lineRule="auto"/>
              <w:jc w:val="center"/>
            </w:pPr>
            <w:r>
              <w:rPr>
                <w:sz w:val="18"/>
                <w:szCs w:val="18"/>
              </w:rPr>
              <w:t>Una única evaluación final, con plan aprobado</w:t>
            </w:r>
          </w:p>
        </w:tc>
      </w:tr>
    </w:tbl>
    <w:p w14:paraId="451F44C8" w14:textId="77777777" w:rsidR="000139C7" w:rsidRDefault="000139C7">
      <w:pPr>
        <w:spacing w:after="120"/>
      </w:pPr>
    </w:p>
    <w:p w14:paraId="5B9E88BE" w14:textId="77777777" w:rsidR="000139C7" w:rsidRDefault="002D77B1">
      <w:pPr>
        <w:spacing w:after="160"/>
        <w:jc w:val="both"/>
      </w:pPr>
      <w:r>
        <w:t>La partición se congeló con huellas criptográficas (SHA-256). Solo un módulo del código puede leer el bloque de prueba, y un test automático falla si cualquier otro lo hace (DEC-019, DEC-021). La fecha final de la muestra se fijó para que el bloque de prueba no creciera con nuevas descargas.</w:t>
      </w:r>
    </w:p>
    <w:p w14:paraId="6BF0C3ED" w14:textId="77777777" w:rsidR="000139C7" w:rsidRDefault="002D77B1">
      <w:pPr>
        <w:keepNext/>
        <w:spacing w:before="200" w:after="60"/>
        <w:jc w:val="center"/>
      </w:pPr>
      <w:r>
        <w:rPr>
          <w:noProof/>
        </w:rPr>
        <w:drawing>
          <wp:inline distT="0" distB="0" distL="0" distR="0" wp14:anchorId="21E37923" wp14:editId="2EAB05C3">
            <wp:extent cx="5715000" cy="35433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43300"/>
                    </a:xfrm>
                    <a:prstGeom prst="rect">
                      <a:avLst/>
                    </a:prstGeom>
                  </pic:spPr>
                </pic:pic>
              </a:graphicData>
            </a:graphic>
          </wp:inline>
        </w:drawing>
      </w:r>
    </w:p>
    <w:p w14:paraId="0E995250" w14:textId="77777777" w:rsidR="000139C7" w:rsidRDefault="002D77B1">
      <w:pPr>
        <w:spacing w:after="240"/>
        <w:jc w:val="center"/>
      </w:pPr>
      <w:r>
        <w:rPr>
          <w:b/>
          <w:bCs/>
          <w:sz w:val="19"/>
          <w:szCs w:val="19"/>
        </w:rPr>
        <w:t xml:space="preserve">Figura 1. </w:t>
      </w:r>
      <w:r>
        <w:rPr>
          <w:i/>
          <w:iCs/>
          <w:sz w:val="19"/>
          <w:szCs w:val="19"/>
        </w:rPr>
        <w:t>Precios ajustados de las nueve acciones, 2020–2026.</w:t>
      </w:r>
    </w:p>
    <w:p w14:paraId="2AF77A3D" w14:textId="77777777" w:rsidR="000139C7" w:rsidRDefault="002D77B1">
      <w:pPr>
        <w:pStyle w:val="Ttulo1"/>
      </w:pPr>
      <w:bookmarkStart w:id="7" w:name="_Toc242139795"/>
      <w:r>
        <w:t>4. Análisis exploratorio</w:t>
      </w:r>
      <w:bookmarkEnd w:id="7"/>
    </w:p>
    <w:p w14:paraId="73195252" w14:textId="77777777" w:rsidR="000139C7" w:rsidRDefault="002D77B1">
      <w:pPr>
        <w:spacing w:after="160"/>
        <w:jc w:val="both"/>
      </w:pPr>
      <w:r>
        <w:t>Las pruebas formales se calcularon solo con entrenamiento para que no influyeran en decisiones posteriores (DEC-017):</w:t>
      </w:r>
    </w:p>
    <w:p w14:paraId="2D77FDAA" w14:textId="77777777" w:rsidR="000139C7" w:rsidRDefault="002D77B1">
      <w:pPr>
        <w:pStyle w:val="Prrafodelista"/>
        <w:numPr>
          <w:ilvl w:val="0"/>
          <w:numId w:val="2"/>
        </w:numPr>
        <w:spacing w:after="80"/>
      </w:pPr>
      <w:r>
        <w:rPr>
          <w:b/>
          <w:bCs/>
        </w:rPr>
        <w:t>Estacionariedad:</w:t>
      </w:r>
      <w:r>
        <w:t xml:space="preserve"> en los precios, la prueba ADF no rechaza la raíz unitaria en ninguna acción y la KPSS rechaza la estacionariedad en 8 de 9. En los rendimientos logarítmicos, ambas pruebas </w:t>
      </w:r>
      <w:r>
        <w:lastRenderedPageBreak/>
        <w:t>indican estacionariedad en las nueve. Por eso se modelan rendimientos, sin diferenciación adicional (d = 0).</w:t>
      </w:r>
    </w:p>
    <w:p w14:paraId="6F4B2F8F" w14:textId="77777777" w:rsidR="000139C7" w:rsidRDefault="002D77B1">
      <w:pPr>
        <w:pStyle w:val="Prrafodelista"/>
        <w:numPr>
          <w:ilvl w:val="0"/>
          <w:numId w:val="2"/>
        </w:numPr>
        <w:spacing w:after="80"/>
      </w:pPr>
      <w:r>
        <w:rPr>
          <w:b/>
          <w:bCs/>
        </w:rPr>
        <w:t>Normalidad:</w:t>
      </w:r>
      <w:r>
        <w:t xml:space="preserve"> la prueba de Jarque-Bera rechaza la normalidad de los rendimientos en las nueve acciones (colas pesadas). Esto justifica distribuciones t de Student en los modelos de volatilidad y advierte contra el VaR normal.</w:t>
      </w:r>
    </w:p>
    <w:p w14:paraId="326C61C2" w14:textId="77777777" w:rsidR="000139C7" w:rsidRDefault="002D77B1">
      <w:pPr>
        <w:pStyle w:val="Prrafodelista"/>
        <w:numPr>
          <w:ilvl w:val="0"/>
          <w:numId w:val="2"/>
        </w:numPr>
        <w:spacing w:after="80"/>
      </w:pPr>
      <w:r>
        <w:rPr>
          <w:b/>
          <w:bCs/>
        </w:rPr>
        <w:t>Autocorrelación:</w:t>
      </w:r>
      <w:r>
        <w:t xml:space="preserve"> Ljung-Box la detecta en Celsia, Ecopetrol, ETB y Promigas.</w:t>
      </w:r>
    </w:p>
    <w:p w14:paraId="02EF1D08" w14:textId="77777777" w:rsidR="000139C7" w:rsidRDefault="002D77B1">
      <w:pPr>
        <w:pStyle w:val="Prrafodelista"/>
        <w:numPr>
          <w:ilvl w:val="0"/>
          <w:numId w:val="2"/>
        </w:numPr>
        <w:spacing w:after="80"/>
      </w:pPr>
      <w:r>
        <w:rPr>
          <w:b/>
          <w:bCs/>
        </w:rPr>
        <w:t>Heterocedasticidad condicional:</w:t>
      </w:r>
      <w:r>
        <w:t xml:space="preserve"> la prueba ARCH-LM detecta agrupamiento de la volatilidad en seis acciones (Celsia, Ecopetrol, ETB, Davivienda, Promigas y Mineros), lo que motiva los modelos GARCH. En Banco de Bogotá, Nutresa y Grupo Bolívar no se detecta.</w:t>
      </w:r>
    </w:p>
    <w:p w14:paraId="2A396F4F" w14:textId="77777777" w:rsidR="000139C7" w:rsidRDefault="002D77B1">
      <w:pPr>
        <w:spacing w:after="160"/>
        <w:jc w:val="both"/>
      </w:pPr>
      <w:r>
        <w:t>Los valores extremos se identificaron pero no se eliminaron, porque la mayoría coinciden con eventos reales de mercado, como marzo de 2020 (DEC-009).</w:t>
      </w:r>
    </w:p>
    <w:p w14:paraId="786FF467" w14:textId="77777777" w:rsidR="000139C7" w:rsidRDefault="002D77B1">
      <w:pPr>
        <w:keepNext/>
        <w:spacing w:before="200" w:after="60"/>
        <w:jc w:val="center"/>
      </w:pPr>
      <w:r>
        <w:rPr>
          <w:noProof/>
        </w:rPr>
        <w:drawing>
          <wp:inline distT="0" distB="0" distL="0" distR="0" wp14:anchorId="7208DFB4" wp14:editId="597B02BC">
            <wp:extent cx="5715000" cy="50387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5038725"/>
                    </a:xfrm>
                    <a:prstGeom prst="rect">
                      <a:avLst/>
                    </a:prstGeom>
                  </pic:spPr>
                </pic:pic>
              </a:graphicData>
            </a:graphic>
          </wp:inline>
        </w:drawing>
      </w:r>
    </w:p>
    <w:p w14:paraId="7A0007EE" w14:textId="77777777" w:rsidR="000139C7" w:rsidRDefault="002D77B1">
      <w:pPr>
        <w:spacing w:after="240"/>
        <w:jc w:val="center"/>
      </w:pPr>
      <w:r>
        <w:rPr>
          <w:b/>
          <w:bCs/>
          <w:sz w:val="19"/>
          <w:szCs w:val="19"/>
        </w:rPr>
        <w:t xml:space="preserve">Figura 2. </w:t>
      </w:r>
      <w:r>
        <w:rPr>
          <w:i/>
          <w:iCs/>
          <w:sz w:val="19"/>
          <w:szCs w:val="19"/>
        </w:rPr>
        <w:t>Matriz de correlación de los rendimientos (descriptiva, muestra completa).</w:t>
      </w:r>
    </w:p>
    <w:p w14:paraId="6E3D20AE" w14:textId="77777777" w:rsidR="000139C7" w:rsidRDefault="002D77B1">
      <w:pPr>
        <w:pStyle w:val="Ttulo1"/>
      </w:pPr>
      <w:bookmarkStart w:id="8" w:name="_Toc242139796"/>
      <w:r>
        <w:t>5. Metodología econométrica</w:t>
      </w:r>
      <w:bookmarkEnd w:id="8"/>
    </w:p>
    <w:p w14:paraId="3A1BB0B7" w14:textId="77777777" w:rsidR="000139C7" w:rsidRDefault="002D77B1">
      <w:pPr>
        <w:pStyle w:val="Ttulo2"/>
      </w:pPr>
      <w:bookmarkStart w:id="9" w:name="_Toc242139797"/>
      <w:r>
        <w:t>5.1 Principios de evaluación</w:t>
      </w:r>
      <w:bookmarkEnd w:id="9"/>
    </w:p>
    <w:p w14:paraId="53573FE9" w14:textId="77777777" w:rsidR="000139C7" w:rsidRDefault="002D77B1">
      <w:pPr>
        <w:spacing w:after="160"/>
        <w:jc w:val="both"/>
      </w:pPr>
      <w:r>
        <w:t>Todas las comparaciones de pronósticos siguen el mismo esquema:</w:t>
      </w:r>
    </w:p>
    <w:p w14:paraId="553BA8E8" w14:textId="77777777" w:rsidR="000139C7" w:rsidRDefault="002D77B1">
      <w:pPr>
        <w:pStyle w:val="Prrafodelista"/>
        <w:numPr>
          <w:ilvl w:val="0"/>
          <w:numId w:val="2"/>
        </w:numPr>
        <w:spacing w:after="80"/>
      </w:pPr>
      <w:r>
        <w:rPr>
          <w:b/>
          <w:bCs/>
        </w:rPr>
        <w:lastRenderedPageBreak/>
        <w:t>Pronósticos a un paso:</w:t>
      </w:r>
      <w:r>
        <w:t xml:space="preserve"> el valor del día </w:t>
      </w:r>
      <w:r>
        <w:rPr>
          <w:i/>
          <w:iCs/>
        </w:rPr>
        <w:t>t</w:t>
      </w:r>
      <w:r>
        <w:t xml:space="preserve"> usa solo información hasta </w:t>
      </w:r>
      <w:r>
        <w:rPr>
          <w:i/>
          <w:iCs/>
        </w:rPr>
        <w:t>t−1</w:t>
      </w:r>
      <w:r>
        <w:t>. Los parámetros se estiman con entrenamiento y se mantienen fijos en el periodo evaluado.</w:t>
      </w:r>
    </w:p>
    <w:p w14:paraId="6CCBAF42" w14:textId="77777777" w:rsidR="000139C7" w:rsidRDefault="002D77B1">
      <w:pPr>
        <w:pStyle w:val="Prrafodelista"/>
        <w:numPr>
          <w:ilvl w:val="0"/>
          <w:numId w:val="2"/>
        </w:numPr>
        <w:spacing w:after="80"/>
      </w:pPr>
      <w:r>
        <w:rPr>
          <w:b/>
          <w:bCs/>
        </w:rPr>
        <w:t>Referencias simples:</w:t>
      </w:r>
      <w:r>
        <w:t xml:space="preserve"> para el rendimiento, la media histórica de entrenamiento y el pronóstico cero. Para la volatilidad, la varianza constante y el EWMA de RiskMetrics (λ = 0,94).</w:t>
      </w:r>
    </w:p>
    <w:p w14:paraId="5D0F7528" w14:textId="77777777" w:rsidR="000139C7" w:rsidRDefault="002D77B1">
      <w:pPr>
        <w:pStyle w:val="Prrafodelista"/>
        <w:numPr>
          <w:ilvl w:val="0"/>
          <w:numId w:val="2"/>
        </w:numPr>
        <w:spacing w:after="80"/>
      </w:pPr>
      <w:r>
        <w:rPr>
          <w:b/>
          <w:bCs/>
        </w:rPr>
        <w:t>Funciones de pérdida:</w:t>
      </w:r>
      <w:r>
        <w:t xml:space="preserve"> error cuadrático para el rendimiento; QLIKE para la volatilidad, que es robusta al uso de un indicador ruidoso de la varianza (Patton, 2011).</w:t>
      </w:r>
    </w:p>
    <w:p w14:paraId="350E54E0" w14:textId="77777777" w:rsidR="000139C7" w:rsidRDefault="002D77B1">
      <w:pPr>
        <w:pStyle w:val="Prrafodelista"/>
        <w:numPr>
          <w:ilvl w:val="0"/>
          <w:numId w:val="2"/>
        </w:numPr>
        <w:spacing w:after="80"/>
      </w:pPr>
      <w:r>
        <w:rPr>
          <w:b/>
          <w:bCs/>
        </w:rPr>
        <w:t>Pruebas estadísticas:</w:t>
      </w:r>
    </w:p>
    <w:p w14:paraId="01DAEAF2" w14:textId="77777777" w:rsidR="000139C7" w:rsidRDefault="002D77B1">
      <w:pPr>
        <w:pStyle w:val="Prrafodelista"/>
        <w:numPr>
          <w:ilvl w:val="1"/>
          <w:numId w:val="2"/>
        </w:numPr>
        <w:spacing w:after="80"/>
      </w:pPr>
      <w:r>
        <w:t>Diebold-Mariano con la corrección de Harvey, Leybourne y Newbold (1997).</w:t>
      </w:r>
    </w:p>
    <w:p w14:paraId="46740A06" w14:textId="77777777" w:rsidR="000139C7" w:rsidRDefault="002D77B1">
      <w:pPr>
        <w:pStyle w:val="Prrafodelista"/>
        <w:numPr>
          <w:ilvl w:val="1"/>
          <w:numId w:val="2"/>
        </w:numPr>
        <w:spacing w:after="80"/>
      </w:pPr>
      <w:r>
        <w:t>Model Confidence Set de Hansen, Lunde y Nason (2011) al 10 %.</w:t>
      </w:r>
    </w:p>
    <w:p w14:paraId="6CB1664A" w14:textId="77777777" w:rsidR="000139C7" w:rsidRDefault="002D77B1">
      <w:pPr>
        <w:pStyle w:val="Prrafodelista"/>
        <w:numPr>
          <w:ilvl w:val="1"/>
          <w:numId w:val="2"/>
        </w:numPr>
        <w:spacing w:after="80"/>
      </w:pPr>
      <w:r>
        <w:t>R² fuera de muestra de Campbell y Thompson (2008), con intervalo de confianza por bootstrap de bloques.</w:t>
      </w:r>
    </w:p>
    <w:p w14:paraId="6CAE1B1E" w14:textId="77777777" w:rsidR="000139C7" w:rsidRDefault="002D77B1">
      <w:pPr>
        <w:pStyle w:val="Prrafodelista"/>
        <w:numPr>
          <w:ilvl w:val="1"/>
          <w:numId w:val="2"/>
        </w:numPr>
        <w:spacing w:after="80"/>
      </w:pPr>
      <w:r>
        <w:t>Prueba de acierto direccional de Pesaran y Timmermann (1992).</w:t>
      </w:r>
    </w:p>
    <w:p w14:paraId="6E534003" w14:textId="77777777" w:rsidR="000139C7" w:rsidRDefault="002D77B1">
      <w:pPr>
        <w:pStyle w:val="Prrafodelista"/>
        <w:numPr>
          <w:ilvl w:val="0"/>
          <w:numId w:val="2"/>
        </w:numPr>
        <w:spacing w:after="80"/>
      </w:pPr>
      <w:r>
        <w:rPr>
          <w:b/>
          <w:bCs/>
        </w:rPr>
        <w:t>Dependencia entre acciones:</w:t>
      </w:r>
      <w:r>
        <w:t xml:space="preserve"> las pérdidas se promedian por fecha antes de las pruebas agregadas, porque las nueve acciones de un mismo día no son observaciones independientes.</w:t>
      </w:r>
    </w:p>
    <w:p w14:paraId="0ACBA582" w14:textId="77777777" w:rsidR="000139C7" w:rsidRDefault="002D77B1">
      <w:pPr>
        <w:pStyle w:val="Prrafodelista"/>
        <w:numPr>
          <w:ilvl w:val="0"/>
          <w:numId w:val="2"/>
        </w:numPr>
        <w:spacing w:after="80"/>
      </w:pPr>
      <w:r>
        <w:rPr>
          <w:b/>
          <w:bCs/>
        </w:rPr>
        <w:t>Comparaciones múltiples:</w:t>
      </w:r>
      <w:r>
        <w:t xml:space="preserve"> corrección de Holm (1979) en cada familia de pruebas.</w:t>
      </w:r>
    </w:p>
    <w:p w14:paraId="41992DCA" w14:textId="77777777" w:rsidR="000139C7" w:rsidRDefault="002D77B1">
      <w:pPr>
        <w:pStyle w:val="Ttulo2"/>
      </w:pPr>
      <w:bookmarkStart w:id="10" w:name="_Toc242139798"/>
      <w:r>
        <w:t>5.2 Modelos</w:t>
      </w:r>
      <w:bookmarkEnd w:id="10"/>
    </w:p>
    <w:p w14:paraId="2C7E75C0" w14:textId="77777777" w:rsidR="000139C7" w:rsidRDefault="002D77B1">
      <w:pPr>
        <w:pStyle w:val="Prrafodelista"/>
        <w:numPr>
          <w:ilvl w:val="0"/>
          <w:numId w:val="2"/>
        </w:numPr>
        <w:spacing w:after="80"/>
      </w:pPr>
      <w:r>
        <w:rPr>
          <w:b/>
          <w:bCs/>
        </w:rPr>
        <w:t>ARIMA(p, 0, q)</w:t>
      </w:r>
      <w:r>
        <w:t xml:space="preserve"> con constante, por acción, con p, q ≤ 3 y selección por BIC. El BIC eligió ruido blanco en cuatro acciones y órdenes bajos en las demás, por ejemplo un AR(1) en Ecopetrol y un MA(1) en Promigas (DEC-023).</w:t>
      </w:r>
    </w:p>
    <w:p w14:paraId="0A7818A6" w14:textId="77777777" w:rsidR="000139C7" w:rsidRDefault="002D77B1">
      <w:pPr>
        <w:pStyle w:val="Prrafodelista"/>
        <w:numPr>
          <w:ilvl w:val="0"/>
          <w:numId w:val="2"/>
        </w:numPr>
        <w:spacing w:after="80"/>
      </w:pPr>
      <w:r>
        <w:rPr>
          <w:b/>
          <w:bCs/>
        </w:rPr>
        <w:t>GARCH(1,1) con innovaciones t</w:t>
      </w:r>
      <w:r>
        <w:t>, por acción. La persistencia estimada (α + β) está entre 0,92 y 1,00, cercana a un IGARCH, que es precisamente la dinámica que impone el EWMA.</w:t>
      </w:r>
    </w:p>
    <w:p w14:paraId="3C56603D" w14:textId="77777777" w:rsidR="000139C7" w:rsidRDefault="002D77B1">
      <w:pPr>
        <w:pStyle w:val="Prrafodelista"/>
        <w:numPr>
          <w:ilvl w:val="0"/>
          <w:numId w:val="2"/>
        </w:numPr>
        <w:spacing w:after="80"/>
      </w:pPr>
      <w:r>
        <w:rPr>
          <w:b/>
          <w:bCs/>
        </w:rPr>
        <w:t>HAR</w:t>
      </w:r>
      <w:r>
        <w:t xml:space="preserve"> (Corsi, 2009) para la varianza realizada semanal, con componentes diario, semanal y mensual.</w:t>
      </w:r>
    </w:p>
    <w:p w14:paraId="58B6C605" w14:textId="77777777" w:rsidR="000139C7" w:rsidRDefault="002D77B1">
      <w:pPr>
        <w:spacing w:after="160"/>
        <w:jc w:val="both"/>
      </w:pPr>
      <w:r>
        <w:t>En las acciones ilíquidas, el GARCH no es fiable. En ETB, con 91 % de días sin cambio en validación, la varianza pronosticada colapsa después de cada racha sin negociación. Por eso los análisis de volatilidad y riesgo individuales se restringieron a las cuatro líquidas.</w:t>
      </w:r>
    </w:p>
    <w:p w14:paraId="76D7A10E" w14:textId="77777777" w:rsidR="000139C7" w:rsidRDefault="002D77B1">
      <w:pPr>
        <w:keepNext/>
        <w:spacing w:before="200" w:after="60"/>
        <w:jc w:val="center"/>
      </w:pPr>
      <w:r>
        <w:rPr>
          <w:noProof/>
        </w:rPr>
        <w:lastRenderedPageBreak/>
        <w:drawing>
          <wp:inline distT="0" distB="0" distL="0" distR="0" wp14:anchorId="5F24DA5C" wp14:editId="23D9E320">
            <wp:extent cx="5715000" cy="3810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810000"/>
                    </a:xfrm>
                    <a:prstGeom prst="rect">
                      <a:avLst/>
                    </a:prstGeom>
                  </pic:spPr>
                </pic:pic>
              </a:graphicData>
            </a:graphic>
          </wp:inline>
        </w:drawing>
      </w:r>
    </w:p>
    <w:p w14:paraId="494A7DDD" w14:textId="77777777" w:rsidR="000139C7" w:rsidRDefault="002D77B1">
      <w:pPr>
        <w:spacing w:after="240"/>
        <w:jc w:val="center"/>
      </w:pPr>
      <w:r>
        <w:rPr>
          <w:b/>
          <w:bCs/>
          <w:sz w:val="19"/>
          <w:szCs w:val="19"/>
        </w:rPr>
        <w:t xml:space="preserve">Figura 3. </w:t>
      </w:r>
      <w:r>
        <w:rPr>
          <w:i/>
          <w:iCs/>
          <w:sz w:val="19"/>
          <w:szCs w:val="19"/>
        </w:rPr>
        <w:t>Volatilidad pronosticada por GARCH y EWMA en validación (2024).</w:t>
      </w:r>
    </w:p>
    <w:p w14:paraId="49CB50CA" w14:textId="77777777" w:rsidR="000139C7" w:rsidRDefault="002D77B1">
      <w:pPr>
        <w:pStyle w:val="Ttulo1"/>
      </w:pPr>
      <w:bookmarkStart w:id="11" w:name="_Toc242139799"/>
      <w:r>
        <w:t>6. Modelos de aprendizaje automático</w:t>
      </w:r>
      <w:bookmarkEnd w:id="11"/>
    </w:p>
    <w:p w14:paraId="17E7367E" w14:textId="77777777" w:rsidR="000139C7" w:rsidRDefault="002D77B1">
      <w:pPr>
        <w:spacing w:after="160"/>
        <w:jc w:val="both"/>
      </w:pPr>
      <w:r>
        <w:t xml:space="preserve">Se estimaron </w:t>
      </w:r>
      <w:r>
        <w:rPr>
          <w:b/>
          <w:bCs/>
        </w:rPr>
        <w:t>Random Forest</w:t>
      </w:r>
      <w:r>
        <w:t xml:space="preserve"> y </w:t>
      </w:r>
      <w:r>
        <w:rPr>
          <w:b/>
          <w:bCs/>
        </w:rPr>
        <w:t>Gradient Boosting</w:t>
      </w:r>
      <w:r>
        <w:t xml:space="preserve"> para pronosticar el rendimiento logarítmico del día siguiente (DEC-025). Se usó un modelo agrupado de las nueve acciones (unas 9 000 filas de entrenamiento) con estas variables:</w:t>
      </w:r>
    </w:p>
    <w:p w14:paraId="1C2242D6" w14:textId="77777777" w:rsidR="000139C7" w:rsidRDefault="002D77B1">
      <w:pPr>
        <w:pStyle w:val="Prrafodelista"/>
        <w:numPr>
          <w:ilvl w:val="0"/>
          <w:numId w:val="2"/>
        </w:numPr>
        <w:spacing w:after="80"/>
      </w:pPr>
      <w:r>
        <w:t>rendimientos rezagados;</w:t>
      </w:r>
    </w:p>
    <w:p w14:paraId="696AD505" w14:textId="77777777" w:rsidR="000139C7" w:rsidRDefault="002D77B1">
      <w:pPr>
        <w:pStyle w:val="Prrafodelista"/>
        <w:numPr>
          <w:ilvl w:val="0"/>
          <w:numId w:val="2"/>
        </w:numPr>
        <w:spacing w:after="80"/>
      </w:pPr>
      <w:r>
        <w:t>medias y volatilidades móviles;</w:t>
      </w:r>
    </w:p>
    <w:p w14:paraId="427B1362" w14:textId="77777777" w:rsidR="000139C7" w:rsidRDefault="002D77B1">
      <w:pPr>
        <w:pStyle w:val="Prrafodelista"/>
        <w:numPr>
          <w:ilvl w:val="0"/>
          <w:numId w:val="2"/>
        </w:numPr>
        <w:spacing w:after="80"/>
      </w:pPr>
      <w:r>
        <w:t>proporción de días sin cambio;</w:t>
      </w:r>
    </w:p>
    <w:p w14:paraId="06A36608" w14:textId="77777777" w:rsidR="000139C7" w:rsidRDefault="002D77B1">
      <w:pPr>
        <w:pStyle w:val="Prrafodelista"/>
        <w:numPr>
          <w:ilvl w:val="0"/>
          <w:numId w:val="2"/>
        </w:numPr>
        <w:spacing w:after="80"/>
      </w:pPr>
      <w:r>
        <w:t>volumen relativo;</w:t>
      </w:r>
    </w:p>
    <w:p w14:paraId="458DE2B3" w14:textId="77777777" w:rsidR="000139C7" w:rsidRDefault="002D77B1">
      <w:pPr>
        <w:pStyle w:val="Prrafodelista"/>
        <w:numPr>
          <w:ilvl w:val="0"/>
          <w:numId w:val="2"/>
        </w:numPr>
        <w:spacing w:after="80"/>
      </w:pPr>
      <w:r>
        <w:t>rendimiento del mercado;</w:t>
      </w:r>
    </w:p>
    <w:p w14:paraId="6F3EC3CB" w14:textId="77777777" w:rsidR="000139C7" w:rsidRDefault="002D77B1">
      <w:pPr>
        <w:pStyle w:val="Prrafodelista"/>
        <w:numPr>
          <w:ilvl w:val="0"/>
          <w:numId w:val="2"/>
        </w:numPr>
        <w:spacing w:after="80"/>
      </w:pPr>
      <w:r>
        <w:t>rendimientos previos de la TRM y del Brent;</w:t>
      </w:r>
    </w:p>
    <w:p w14:paraId="55EA299F" w14:textId="77777777" w:rsidR="000139C7" w:rsidRDefault="002D77B1">
      <w:pPr>
        <w:pStyle w:val="Prrafodelista"/>
        <w:numPr>
          <w:ilvl w:val="0"/>
          <w:numId w:val="2"/>
        </w:numPr>
        <w:spacing w:after="80"/>
      </w:pPr>
      <w:r>
        <w:t>un indicador de empresa.</w:t>
      </w:r>
    </w:p>
    <w:p w14:paraId="134BA1BD" w14:textId="77777777" w:rsidR="000139C7" w:rsidRDefault="002D77B1">
      <w:pPr>
        <w:spacing w:after="160"/>
        <w:jc w:val="both"/>
      </w:pPr>
      <w:r>
        <w:t>Para evitar fuga de información:</w:t>
      </w:r>
    </w:p>
    <w:p w14:paraId="5788957E" w14:textId="77777777" w:rsidR="000139C7" w:rsidRDefault="002D77B1">
      <w:pPr>
        <w:pStyle w:val="Prrafodelista"/>
        <w:numPr>
          <w:ilvl w:val="0"/>
          <w:numId w:val="2"/>
        </w:numPr>
        <w:spacing w:after="80"/>
      </w:pPr>
      <w:r>
        <w:t xml:space="preserve">cada fila se asigna a entrenamiento o validación según la </w:t>
      </w:r>
      <w:r>
        <w:rPr>
          <w:b/>
          <w:bCs/>
        </w:rPr>
        <w:t>fecha del objetivo</w:t>
      </w:r>
      <w:r>
        <w:t>;</w:t>
      </w:r>
    </w:p>
    <w:p w14:paraId="2DDBE7B4" w14:textId="77777777" w:rsidR="000139C7" w:rsidRDefault="002D77B1">
      <w:pPr>
        <w:pStyle w:val="Prrafodelista"/>
        <w:numPr>
          <w:ilvl w:val="0"/>
          <w:numId w:val="2"/>
        </w:numPr>
        <w:spacing w:after="80"/>
      </w:pPr>
      <w:r>
        <w:t xml:space="preserve">las variables externas usan solo cierres </w:t>
      </w:r>
      <w:r>
        <w:rPr>
          <w:b/>
          <w:bCs/>
        </w:rPr>
        <w:t>estrictamente anteriores</w:t>
      </w:r>
      <w:r>
        <w:t xml:space="preserve"> al día </w:t>
      </w:r>
      <w:r>
        <w:rPr>
          <w:i/>
          <w:iCs/>
        </w:rPr>
        <w:t>t</w:t>
      </w:r>
      <w:r>
        <w:t>, porque cierran después que la bolsa colombiana;</w:t>
      </w:r>
    </w:p>
    <w:p w14:paraId="6854B191" w14:textId="77777777" w:rsidR="000139C7" w:rsidRDefault="002D77B1">
      <w:pPr>
        <w:pStyle w:val="Prrafodelista"/>
        <w:numPr>
          <w:ilvl w:val="0"/>
          <w:numId w:val="2"/>
        </w:numPr>
        <w:spacing w:after="80"/>
      </w:pPr>
      <w:r>
        <w:t xml:space="preserve">los hiperparámetros se eligieron con </w:t>
      </w:r>
      <w:r>
        <w:rPr>
          <w:b/>
          <w:bCs/>
        </w:rPr>
        <w:t>validación cruzada temporal expansiva</w:t>
      </w:r>
      <w:r>
        <w:t xml:space="preserve"> de cinco pliegues dentro de entrenamiento (rejilla de 8 combinaciones por modelo, semilla 42).</w:t>
      </w:r>
    </w:p>
    <w:p w14:paraId="142CE4F7" w14:textId="77777777" w:rsidR="000139C7" w:rsidRDefault="002D77B1">
      <w:pPr>
        <w:spacing w:after="160"/>
        <w:jc w:val="both"/>
      </w:pPr>
      <w:r>
        <w:t>La validación solo se usó para comparar.</w:t>
      </w:r>
    </w:p>
    <w:p w14:paraId="195890AE" w14:textId="77777777" w:rsidR="000139C7" w:rsidRDefault="002D77B1">
      <w:pPr>
        <w:spacing w:after="160"/>
        <w:jc w:val="both"/>
      </w:pPr>
      <w:r>
        <w:lastRenderedPageBreak/>
        <w:t>La importancia por permutación muestra que dominan el rendimiento del propio día y el volumen relativo; la TRM y el Brent no aportan. Como se verá en la sección 17, la importancia del último rendimiento refleja un efecto de microestructura y no una oportunidad explotable.</w:t>
      </w:r>
    </w:p>
    <w:p w14:paraId="75B3187B" w14:textId="77777777" w:rsidR="000139C7" w:rsidRDefault="002D77B1">
      <w:pPr>
        <w:keepNext/>
        <w:spacing w:before="200" w:after="60"/>
        <w:jc w:val="center"/>
      </w:pPr>
      <w:r>
        <w:rPr>
          <w:noProof/>
        </w:rPr>
        <w:drawing>
          <wp:inline distT="0" distB="0" distL="0" distR="0" wp14:anchorId="78EB0515" wp14:editId="6B2EFB40">
            <wp:extent cx="5715000" cy="22002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200275"/>
                    </a:xfrm>
                    <a:prstGeom prst="rect">
                      <a:avLst/>
                    </a:prstGeom>
                  </pic:spPr>
                </pic:pic>
              </a:graphicData>
            </a:graphic>
          </wp:inline>
        </w:drawing>
      </w:r>
    </w:p>
    <w:p w14:paraId="72BF2C81" w14:textId="77777777" w:rsidR="000139C7" w:rsidRDefault="002D77B1">
      <w:pPr>
        <w:spacing w:after="240"/>
        <w:jc w:val="center"/>
      </w:pPr>
      <w:r>
        <w:rPr>
          <w:b/>
          <w:bCs/>
          <w:sz w:val="19"/>
          <w:szCs w:val="19"/>
        </w:rPr>
        <w:t xml:space="preserve">Figura 4. </w:t>
      </w:r>
      <w:r>
        <w:rPr>
          <w:i/>
          <w:iCs/>
          <w:sz w:val="19"/>
          <w:szCs w:val="19"/>
        </w:rPr>
        <w:t>Importancia de las variables por permutación (validación).</w:t>
      </w:r>
    </w:p>
    <w:p w14:paraId="2B1B3A97" w14:textId="77777777" w:rsidR="000139C7" w:rsidRDefault="002D77B1">
      <w:pPr>
        <w:pStyle w:val="Ttulo1"/>
      </w:pPr>
      <w:bookmarkStart w:id="12" w:name="_Toc242139800"/>
      <w:r>
        <w:t>7. Redes neuronales</w:t>
      </w:r>
      <w:bookmarkEnd w:id="12"/>
    </w:p>
    <w:p w14:paraId="4EA371B8" w14:textId="77777777" w:rsidR="000139C7" w:rsidRDefault="002D77B1">
      <w:pPr>
        <w:spacing w:after="160"/>
        <w:jc w:val="both"/>
      </w:pPr>
      <w:r>
        <w:t>Se entrenaron dos redes con PyTorch sobre el mismo problema y las mismas filas (DEC-026):</w:t>
      </w:r>
    </w:p>
    <w:p w14:paraId="6F4E88E4" w14:textId="77777777" w:rsidR="000139C7" w:rsidRDefault="002D77B1">
      <w:pPr>
        <w:pStyle w:val="Prrafodelista"/>
        <w:numPr>
          <w:ilvl w:val="0"/>
          <w:numId w:val="2"/>
        </w:numPr>
        <w:spacing w:after="80"/>
      </w:pPr>
      <w:r>
        <w:t xml:space="preserve">un </w:t>
      </w:r>
      <w:r>
        <w:rPr>
          <w:b/>
          <w:bCs/>
        </w:rPr>
        <w:t>perceptrón multicapa (MLP)</w:t>
      </w:r>
      <w:r>
        <w:t xml:space="preserve"> con las variables de la sección 6;</w:t>
      </w:r>
    </w:p>
    <w:p w14:paraId="32E685FE" w14:textId="77777777" w:rsidR="000139C7" w:rsidRDefault="002D77B1">
      <w:pPr>
        <w:pStyle w:val="Prrafodelista"/>
        <w:numPr>
          <w:ilvl w:val="0"/>
          <w:numId w:val="2"/>
        </w:numPr>
        <w:spacing w:after="80"/>
      </w:pPr>
      <w:r>
        <w:t xml:space="preserve">una </w:t>
      </w:r>
      <w:r>
        <w:rPr>
          <w:b/>
          <w:bCs/>
        </w:rPr>
        <w:t>LSTM</w:t>
      </w:r>
      <w:r>
        <w:t xml:space="preserve"> que recibe secuencias de los últimos 30 días de cada acción (rendimiento, volumen relativo, mercado, TRM y Brent).</w:t>
      </w:r>
    </w:p>
    <w:p w14:paraId="50AF4228" w14:textId="77777777" w:rsidR="000139C7" w:rsidRDefault="002D77B1">
      <w:pPr>
        <w:spacing w:after="160"/>
        <w:jc w:val="both"/>
      </w:pPr>
      <w:r>
        <w:t>Las decisiones de diseño buscan que la comparación sea justa:</w:t>
      </w:r>
    </w:p>
    <w:p w14:paraId="6E89CD0C" w14:textId="77777777" w:rsidR="000139C7" w:rsidRDefault="002D77B1">
      <w:pPr>
        <w:pStyle w:val="Prrafodelista"/>
        <w:numPr>
          <w:ilvl w:val="0"/>
          <w:numId w:val="2"/>
        </w:numPr>
        <w:spacing w:after="80"/>
      </w:pPr>
      <w:r>
        <w:t>El escalado de las variables se ajusta solo con entrenamiento.</w:t>
      </w:r>
    </w:p>
    <w:p w14:paraId="378C415E" w14:textId="77777777" w:rsidR="000139C7" w:rsidRDefault="002D77B1">
      <w:pPr>
        <w:pStyle w:val="Prrafodelista"/>
        <w:numPr>
          <w:ilvl w:val="0"/>
          <w:numId w:val="2"/>
        </w:numPr>
        <w:spacing w:after="80"/>
      </w:pPr>
      <w:r>
        <w:t>La parada temprana y la elección de hiperparámetros usan el último 20 % de entrenamiento, nunca la validación.</w:t>
      </w:r>
    </w:p>
    <w:p w14:paraId="1AB47E4E" w14:textId="77777777" w:rsidR="000139C7" w:rsidRDefault="002D77B1">
      <w:pPr>
        <w:pStyle w:val="Prrafodelista"/>
        <w:numPr>
          <w:ilvl w:val="0"/>
          <w:numId w:val="2"/>
        </w:numPr>
        <w:spacing w:after="80"/>
      </w:pPr>
      <w:r>
        <w:t xml:space="preserve">Cada red se entrena con </w:t>
      </w:r>
      <w:r>
        <w:rPr>
          <w:b/>
          <w:bCs/>
        </w:rPr>
        <w:t>cinco semillas</w:t>
      </w:r>
      <w:r>
        <w:t xml:space="preserve"> y se promedian sus predicciones. La variabilidad entre semillas resultó del mismo orden que las diferencias entre modelos: sin promediar, el resultado de una red dependería de su inicialización aleatoria.</w:t>
      </w:r>
    </w:p>
    <w:p w14:paraId="195E30EF" w14:textId="77777777" w:rsidR="000139C7" w:rsidRDefault="002D77B1">
      <w:pPr>
        <w:spacing w:after="160"/>
        <w:jc w:val="both"/>
      </w:pPr>
      <w:r>
        <w:t xml:space="preserve">En el conjunto de parada, al final de entrenamiento, el MLP reducía el error cuadrático 7,7 % frente a la media. </w:t>
      </w:r>
      <w:r>
        <w:rPr>
          <w:b/>
          <w:bCs/>
        </w:rPr>
        <w:t>En validación esa ventaja desapareció.</w:t>
      </w:r>
      <w:r>
        <w:t xml:space="preserve"> Es un ejemplo de cómo un buen ajuste dentro de muestra puede no sostenerse fuera de ella.</w:t>
      </w:r>
    </w:p>
    <w:p w14:paraId="4D87F5F3" w14:textId="77777777" w:rsidR="000139C7" w:rsidRDefault="002D77B1">
      <w:pPr>
        <w:pStyle w:val="Ttulo1"/>
      </w:pPr>
      <w:bookmarkStart w:id="13" w:name="_Toc242139801"/>
      <w:r>
        <w:t>8. Modelos de riesgo</w:t>
      </w:r>
      <w:bookmarkEnd w:id="13"/>
    </w:p>
    <w:p w14:paraId="73F33CCC" w14:textId="77777777" w:rsidR="000139C7" w:rsidRDefault="002D77B1">
      <w:pPr>
        <w:spacing w:after="160"/>
        <w:jc w:val="both"/>
      </w:pPr>
      <w:r>
        <w:t xml:space="preserve">Se estimaron el </w:t>
      </w:r>
      <w:r>
        <w:rPr>
          <w:b/>
          <w:bCs/>
        </w:rPr>
        <w:t>VaR</w:t>
      </w:r>
      <w:r>
        <w:t xml:space="preserve"> y el </w:t>
      </w:r>
      <w:r>
        <w:rPr>
          <w:b/>
          <w:bCs/>
        </w:rPr>
        <w:t>Expected Shortfall</w:t>
      </w:r>
      <w:r>
        <w:t xml:space="preserve"> (ES) a un día, al 95 % y al 99 %, para las cuatro acciones líquidas y seis portafolios, con cuatro métodos (DEC-028):</w:t>
      </w:r>
    </w:p>
    <w:p w14:paraId="55704FED" w14:textId="77777777" w:rsidR="000139C7" w:rsidRDefault="002D77B1">
      <w:pPr>
        <w:spacing w:after="80"/>
        <w:ind w:left="567" w:hanging="340"/>
      </w:pPr>
      <w:r>
        <w:t>1. simulación histórica (ventana de 250 días);</w:t>
      </w:r>
    </w:p>
    <w:p w14:paraId="50B70DA4" w14:textId="77777777" w:rsidR="000139C7" w:rsidRDefault="002D77B1">
      <w:pPr>
        <w:spacing w:after="80"/>
        <w:ind w:left="567" w:hanging="340"/>
      </w:pPr>
      <w:r>
        <w:t>2. normal con volatilidad EWMA;</w:t>
      </w:r>
    </w:p>
    <w:p w14:paraId="19931E8D" w14:textId="77777777" w:rsidR="000139C7" w:rsidRDefault="002D77B1">
      <w:pPr>
        <w:spacing w:after="80"/>
        <w:ind w:left="567" w:hanging="340"/>
      </w:pPr>
      <w:r>
        <w:t>3. GARCH(1,1)-t;</w:t>
      </w:r>
    </w:p>
    <w:p w14:paraId="3C07D61F" w14:textId="77777777" w:rsidR="000139C7" w:rsidRDefault="002D77B1">
      <w:pPr>
        <w:spacing w:after="80"/>
        <w:ind w:left="567" w:hanging="340"/>
      </w:pPr>
      <w:r>
        <w:lastRenderedPageBreak/>
        <w:t xml:space="preserve">4. </w:t>
      </w:r>
      <w:r>
        <w:rPr>
          <w:b/>
          <w:bCs/>
        </w:rPr>
        <w:t>simulación histórica filtrada (FHS)</w:t>
      </w:r>
      <w:r>
        <w:t>: residuos empíricos estandarizados por la volatilidad EWMA.</w:t>
      </w:r>
    </w:p>
    <w:p w14:paraId="13AE475E" w14:textId="77777777" w:rsidR="000139C7" w:rsidRDefault="002D77B1">
      <w:pPr>
        <w:spacing w:after="160"/>
        <w:jc w:val="both"/>
      </w:pPr>
      <w:r>
        <w:t>La evaluación usó las pruebas de Kupiec y de Christoffersen, el semáforo de Basilea, una prueba del ES (pérdida media en los días de exceso dividida entre el ES) y el Model Confidence Set de la pérdida cuantílica, con Holm sobre todas las combinaciones.</w:t>
      </w:r>
    </w:p>
    <w:p w14:paraId="1FF4AE67" w14:textId="77777777" w:rsidR="000139C7" w:rsidRDefault="002D77B1">
      <w:pPr>
        <w:spacing w:after="160"/>
        <w:jc w:val="both"/>
      </w:pPr>
      <w:r>
        <w:t>Durante la implementación se detectó que el ES empírico era inestable. Los precios de la bolsa colombiana se mueven en saltos discretos, lo que produce empates en el cuantil: una perturbación de 10⁻¹⁵ cambiaba el tamaño de la cola. Se adoptó una definición robusta (el ES como la media de las k peores observaciones) y se reejecutaron los análisis afectados, sin cambios en las conclusiones (DEC-031).</w:t>
      </w:r>
    </w:p>
    <w:p w14:paraId="08D36350" w14:textId="77777777" w:rsidR="000139C7" w:rsidRDefault="002D77B1">
      <w:pPr>
        <w:spacing w:after="160"/>
        <w:jc w:val="both"/>
      </w:pPr>
      <w:r>
        <w:t>En validación (2024), al 99 % y sumando las diez series (24,9 excesos esperados), el VaR normal tuvo 39 excesos y fue el único método con zonas amarillas de Basilea. FHS tuvo 21 y la simulación histórica 19, los más cercanos a lo esperado; GARCH-t tuvo 12 y resultó conservador.</w:t>
      </w:r>
    </w:p>
    <w:p w14:paraId="3095A8E3" w14:textId="77777777" w:rsidR="000139C7" w:rsidRDefault="002D77B1">
      <w:pPr>
        <w:keepNext/>
        <w:spacing w:before="200" w:after="60"/>
        <w:jc w:val="center"/>
      </w:pPr>
      <w:r>
        <w:rPr>
          <w:noProof/>
        </w:rPr>
        <w:drawing>
          <wp:inline distT="0" distB="0" distL="0" distR="0" wp14:anchorId="0469B393" wp14:editId="661AC27A">
            <wp:extent cx="5715000" cy="28575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857500"/>
                    </a:xfrm>
                    <a:prstGeom prst="rect">
                      <a:avLst/>
                    </a:prstGeom>
                  </pic:spPr>
                </pic:pic>
              </a:graphicData>
            </a:graphic>
          </wp:inline>
        </w:drawing>
      </w:r>
    </w:p>
    <w:p w14:paraId="787CE879" w14:textId="77777777" w:rsidR="000139C7" w:rsidRDefault="002D77B1">
      <w:pPr>
        <w:spacing w:after="240"/>
        <w:jc w:val="center"/>
      </w:pPr>
      <w:r>
        <w:rPr>
          <w:b/>
          <w:bCs/>
          <w:sz w:val="19"/>
          <w:szCs w:val="19"/>
        </w:rPr>
        <w:t xml:space="preserve">Figura 5. </w:t>
      </w:r>
      <w:r>
        <w:rPr>
          <w:i/>
          <w:iCs/>
          <w:sz w:val="19"/>
          <w:szCs w:val="19"/>
        </w:rPr>
        <w:t>VaR al 99 % y pérdidas realizadas en validación.</w:t>
      </w:r>
    </w:p>
    <w:p w14:paraId="6AEF6C41" w14:textId="77777777" w:rsidR="000139C7" w:rsidRDefault="002D77B1">
      <w:pPr>
        <w:pStyle w:val="Ttulo1"/>
      </w:pPr>
      <w:bookmarkStart w:id="14" w:name="_Toc242139802"/>
      <w:r>
        <w:t>9. Optimización</w:t>
      </w:r>
      <w:bookmarkEnd w:id="14"/>
    </w:p>
    <w:p w14:paraId="7E18F504" w14:textId="77777777" w:rsidR="000139C7" w:rsidRDefault="002D77B1">
      <w:pPr>
        <w:spacing w:after="160"/>
        <w:jc w:val="both"/>
      </w:pPr>
      <w:r>
        <w:t>Se construyeron los siguientes portafolios con insumos estimados únicamente con datos pasados (DEC-020, DEC-031):</w:t>
      </w:r>
    </w:p>
    <w:p w14:paraId="1E7CA0F4" w14:textId="77777777" w:rsidR="000139C7" w:rsidRDefault="002D77B1">
      <w:pPr>
        <w:pStyle w:val="Prrafodelista"/>
        <w:numPr>
          <w:ilvl w:val="0"/>
          <w:numId w:val="2"/>
        </w:numPr>
        <w:spacing w:after="80"/>
      </w:pPr>
      <w:r>
        <w:rPr>
          <w:b/>
          <w:bCs/>
        </w:rPr>
        <w:t>1/N</w:t>
      </w:r>
      <w:r>
        <w:t xml:space="preserve"> (igual ponderación);</w:t>
      </w:r>
    </w:p>
    <w:p w14:paraId="2E3765EB" w14:textId="77777777" w:rsidR="000139C7" w:rsidRDefault="002D77B1">
      <w:pPr>
        <w:pStyle w:val="Prrafodelista"/>
        <w:numPr>
          <w:ilvl w:val="0"/>
          <w:numId w:val="2"/>
        </w:numPr>
        <w:spacing w:after="80"/>
      </w:pPr>
      <w:r>
        <w:rPr>
          <w:b/>
          <w:bCs/>
        </w:rPr>
        <w:t>mínima varianza</w:t>
      </w:r>
      <w:r>
        <w:t xml:space="preserve">, con covarianza muestral y con el estimador de encogimiento de </w:t>
      </w:r>
      <w:r>
        <w:rPr>
          <w:b/>
          <w:bCs/>
        </w:rPr>
        <w:t>Ledoit-Wolf</w:t>
      </w:r>
      <w:r>
        <w:t xml:space="preserve"> (2004);</w:t>
      </w:r>
    </w:p>
    <w:p w14:paraId="1E4DA178" w14:textId="77777777" w:rsidR="000139C7" w:rsidRDefault="002D77B1">
      <w:pPr>
        <w:pStyle w:val="Prrafodelista"/>
        <w:numPr>
          <w:ilvl w:val="0"/>
          <w:numId w:val="2"/>
        </w:numPr>
        <w:spacing w:after="80"/>
      </w:pPr>
      <w:r>
        <w:rPr>
          <w:b/>
          <w:bCs/>
        </w:rPr>
        <w:t>mínimo CVaR al 95 %</w:t>
      </w:r>
      <w:r>
        <w:t>, como programa lineal de Rockafellar y Uryasev (2000);</w:t>
      </w:r>
    </w:p>
    <w:p w14:paraId="23383BCE" w14:textId="77777777" w:rsidR="000139C7" w:rsidRDefault="002D77B1">
      <w:pPr>
        <w:pStyle w:val="Prrafodelista"/>
        <w:numPr>
          <w:ilvl w:val="0"/>
          <w:numId w:val="2"/>
        </w:numPr>
        <w:spacing w:after="80"/>
      </w:pPr>
      <w:r>
        <w:rPr>
          <w:b/>
          <w:bCs/>
        </w:rPr>
        <w:t>paridad de riesgo</w:t>
      </w:r>
      <w:r>
        <w:t>;</w:t>
      </w:r>
    </w:p>
    <w:p w14:paraId="3F5B250E" w14:textId="77777777" w:rsidR="000139C7" w:rsidRDefault="002D77B1">
      <w:pPr>
        <w:pStyle w:val="Prrafodelista"/>
        <w:numPr>
          <w:ilvl w:val="0"/>
          <w:numId w:val="2"/>
        </w:numPr>
        <w:spacing w:after="80"/>
      </w:pPr>
      <w:r>
        <w:rPr>
          <w:b/>
          <w:bCs/>
        </w:rPr>
        <w:t>máximo Sharpe</w:t>
      </w:r>
      <w:r>
        <w:t>.</w:t>
      </w:r>
    </w:p>
    <w:p w14:paraId="26A94E0C" w14:textId="77777777" w:rsidR="000139C7" w:rsidRDefault="002D77B1">
      <w:pPr>
        <w:spacing w:after="160"/>
        <w:jc w:val="both"/>
      </w:pPr>
      <w:r>
        <w:lastRenderedPageBreak/>
        <w:t xml:space="preserve">Las restricciones son realistas para un inversionista local: pesos no negativos que suman 1, </w:t>
      </w:r>
      <w:r>
        <w:rPr>
          <w:b/>
          <w:bCs/>
        </w:rPr>
        <w:t>máximo 30 % por acción</w:t>
      </w:r>
      <w:r>
        <w:t xml:space="preserve"> y </w:t>
      </w:r>
      <w:r>
        <w:rPr>
          <w:b/>
          <w:bCs/>
        </w:rPr>
        <w:t>máximo 40 % por sector</w:t>
      </w:r>
      <w:r>
        <w:t>. Los sectores son financiero, petróleo y gas, servicios públicos, telecomunicaciones, consumo y minería.</w:t>
      </w:r>
    </w:p>
    <w:p w14:paraId="4823F288" w14:textId="77777777" w:rsidR="000139C7" w:rsidRDefault="002D77B1">
      <w:pPr>
        <w:spacing w:after="160"/>
        <w:jc w:val="both"/>
      </w:pPr>
      <w:r>
        <w:t xml:space="preserve">El portafolio de </w:t>
      </w:r>
      <w:r>
        <w:rPr>
          <w:b/>
          <w:bCs/>
        </w:rPr>
        <w:t>máximo Sharpe resultó degenerado o el peor fuera de muestra</w:t>
      </w:r>
      <w:r>
        <w:t>. En entrenamiento, ningún portafolio de las acciones líquidas superaba la tasa libre de riesgo, y el que mejor se veía dentro de muestra fue el peor en validación. Es la manifestación clásica del error de estimación de la media, y por eso se excluyó de las comparaciones posteriores. En la propuesta de benchmark del diario (DEC-020) se planteaba la mínima varianza; las comparaciones confirmatorias se hicieron contra el 1/N, fijado como referencia antes de abrir la prueba (DEC-032, DEC-034).</w:t>
      </w:r>
    </w:p>
    <w:p w14:paraId="261C32E2" w14:textId="77777777" w:rsidR="000139C7" w:rsidRDefault="002D77B1">
      <w:pPr>
        <w:keepNext/>
        <w:spacing w:before="200" w:after="60"/>
        <w:jc w:val="center"/>
      </w:pPr>
      <w:r>
        <w:rPr>
          <w:noProof/>
        </w:rPr>
        <w:drawing>
          <wp:inline distT="0" distB="0" distL="0" distR="0" wp14:anchorId="2BA3A561" wp14:editId="400C32A9">
            <wp:extent cx="5715000" cy="20955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095500"/>
                    </a:xfrm>
                    <a:prstGeom prst="rect">
                      <a:avLst/>
                    </a:prstGeom>
                  </pic:spPr>
                </pic:pic>
              </a:graphicData>
            </a:graphic>
          </wp:inline>
        </w:drawing>
      </w:r>
    </w:p>
    <w:p w14:paraId="22D8DC06" w14:textId="77777777" w:rsidR="000139C7" w:rsidRDefault="002D77B1">
      <w:pPr>
        <w:spacing w:after="240"/>
        <w:jc w:val="center"/>
      </w:pPr>
      <w:r>
        <w:rPr>
          <w:b/>
          <w:bCs/>
          <w:sz w:val="19"/>
          <w:szCs w:val="19"/>
        </w:rPr>
        <w:t xml:space="preserve">Figura 6. </w:t>
      </w:r>
      <w:r>
        <w:rPr>
          <w:i/>
          <w:iCs/>
          <w:sz w:val="19"/>
          <w:szCs w:val="19"/>
        </w:rPr>
        <w:t>Pesos de los portafolios optimizados (estimados con entrenamiento).</w:t>
      </w:r>
    </w:p>
    <w:p w14:paraId="747D9670" w14:textId="77777777" w:rsidR="000139C7" w:rsidRDefault="002D77B1">
      <w:pPr>
        <w:pStyle w:val="Ttulo1"/>
      </w:pPr>
      <w:bookmarkStart w:id="15" w:name="_Toc242139803"/>
      <w:r>
        <w:t>10. Backtesting</w:t>
      </w:r>
      <w:bookmarkEnd w:id="15"/>
    </w:p>
    <w:p w14:paraId="110132BD" w14:textId="77777777" w:rsidR="000139C7" w:rsidRDefault="002D77B1">
      <w:pPr>
        <w:spacing w:after="160"/>
        <w:jc w:val="both"/>
      </w:pPr>
      <w:r>
        <w:t xml:space="preserve">Las estrategias se evaluaron con un </w:t>
      </w:r>
      <w:r>
        <w:rPr>
          <w:b/>
          <w:bCs/>
        </w:rPr>
        <w:t>backtesting walk-forward</w:t>
      </w:r>
      <w:r>
        <w:t xml:space="preserve"> sobre enero de 2021 a diciembre de 2024, con el plan registrado antes de ejecutarlo (DEC-032, DEC-033):</w:t>
      </w:r>
    </w:p>
    <w:p w14:paraId="76042D6F" w14:textId="77777777" w:rsidR="000139C7" w:rsidRDefault="002D77B1">
      <w:pPr>
        <w:pStyle w:val="Prrafodelista"/>
        <w:numPr>
          <w:ilvl w:val="0"/>
          <w:numId w:val="2"/>
        </w:numPr>
        <w:spacing w:after="80"/>
      </w:pPr>
      <w:r>
        <w:t>rebalanceo mensual;</w:t>
      </w:r>
    </w:p>
    <w:p w14:paraId="1950050C" w14:textId="77777777" w:rsidR="000139C7" w:rsidRDefault="002D77B1">
      <w:pPr>
        <w:pStyle w:val="Prrafodelista"/>
        <w:numPr>
          <w:ilvl w:val="0"/>
          <w:numId w:val="2"/>
        </w:numPr>
        <w:spacing w:after="80"/>
      </w:pPr>
      <w:r>
        <w:t>insumos estimados con una ventana móvil de 252 días que solo usa información pasada;</w:t>
      </w:r>
    </w:p>
    <w:p w14:paraId="2DDE4B71" w14:textId="77777777" w:rsidR="000139C7" w:rsidRDefault="002D77B1">
      <w:pPr>
        <w:pStyle w:val="Prrafodelista"/>
        <w:numPr>
          <w:ilvl w:val="0"/>
          <w:numId w:val="2"/>
        </w:numPr>
        <w:spacing w:after="80"/>
      </w:pPr>
      <w:r>
        <w:t>pesos que derivan con los precios entre rebalanceos;</w:t>
      </w:r>
    </w:p>
    <w:p w14:paraId="4400FCBA" w14:textId="77777777" w:rsidR="000139C7" w:rsidRDefault="002D77B1">
      <w:pPr>
        <w:pStyle w:val="Prrafodelista"/>
        <w:numPr>
          <w:ilvl w:val="0"/>
          <w:numId w:val="2"/>
        </w:numPr>
        <w:spacing w:after="80"/>
      </w:pPr>
      <w:r>
        <w:rPr>
          <w:b/>
          <w:bCs/>
        </w:rPr>
        <w:t>costos de transacción de 20 pb por lado</w:t>
      </w:r>
      <w:r>
        <w:t>, con sensibilidad a 0 y 50 pb y al rebalanceo trimestral.</w:t>
      </w:r>
    </w:p>
    <w:p w14:paraId="74EC3AC4" w14:textId="77777777" w:rsidR="000139C7" w:rsidRDefault="002D77B1">
      <w:pPr>
        <w:keepNext/>
        <w:spacing w:after="160"/>
        <w:jc w:val="both"/>
      </w:pPr>
      <w:r>
        <w:t>La hipótesis registrada era que alguna estrategia basada en riesgo tendría mayor Sharpe neto que el 1/N. Se contrastó con bootstrap por bloques y Holm sobre 8 pruebas.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2"/>
        <w:gridCol w:w="1524"/>
        <w:gridCol w:w="1014"/>
        <w:gridCol w:w="1431"/>
        <w:gridCol w:w="896"/>
        <w:gridCol w:w="1523"/>
      </w:tblGrid>
      <w:tr w:rsidR="000139C7" w14:paraId="40FDD33C" w14:textId="77777777">
        <w:tblPrEx>
          <w:tblCellMar>
            <w:top w:w="0" w:type="dxa"/>
            <w:bottom w:w="0" w:type="dxa"/>
          </w:tblCellMar>
        </w:tblPrEx>
        <w:trPr>
          <w:tblHeader/>
        </w:trPr>
        <w:tc>
          <w:tcPr>
            <w:tcW w:w="2694"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2597712F" w14:textId="77777777" w:rsidR="000139C7" w:rsidRDefault="002D77B1">
            <w:pPr>
              <w:spacing w:line="252" w:lineRule="auto"/>
            </w:pPr>
            <w:r>
              <w:rPr>
                <w:b/>
                <w:bCs/>
                <w:sz w:val="18"/>
                <w:szCs w:val="18"/>
              </w:rPr>
              <w:t>Estrategia (9 empresas, 20 pb)</w:t>
            </w:r>
          </w:p>
        </w:tc>
        <w:tc>
          <w:tcPr>
            <w:tcW w:w="1526"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3DDDD4D7" w14:textId="77777777" w:rsidR="000139C7" w:rsidRDefault="002D77B1">
            <w:pPr>
              <w:spacing w:line="252" w:lineRule="auto"/>
              <w:jc w:val="center"/>
            </w:pPr>
            <w:r>
              <w:rPr>
                <w:b/>
                <w:bCs/>
                <w:sz w:val="18"/>
                <w:szCs w:val="18"/>
              </w:rPr>
              <w:t>Rendimiento anual</w:t>
            </w:r>
          </w:p>
        </w:tc>
        <w:tc>
          <w:tcPr>
            <w:tcW w:w="987"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023B21DD" w14:textId="77777777" w:rsidR="000139C7" w:rsidRDefault="002D77B1">
            <w:pPr>
              <w:spacing w:line="252" w:lineRule="auto"/>
              <w:jc w:val="center"/>
            </w:pPr>
            <w:r>
              <w:rPr>
                <w:b/>
                <w:bCs/>
                <w:sz w:val="18"/>
                <w:szCs w:val="18"/>
              </w:rPr>
              <w:t>Volatilidad</w:t>
            </w:r>
          </w:p>
        </w:tc>
        <w:tc>
          <w:tcPr>
            <w:tcW w:w="1436"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318EC206" w14:textId="77777777" w:rsidR="000139C7" w:rsidRDefault="002D77B1">
            <w:pPr>
              <w:spacing w:line="252" w:lineRule="auto"/>
              <w:jc w:val="center"/>
            </w:pPr>
            <w:r>
              <w:rPr>
                <w:b/>
                <w:bCs/>
                <w:sz w:val="18"/>
                <w:szCs w:val="18"/>
              </w:rPr>
              <w:t>Sharpe sobre IBR</w:t>
            </w:r>
          </w:p>
        </w:tc>
        <w:tc>
          <w:tcPr>
            <w:tcW w:w="898"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4CB63680" w14:textId="77777777" w:rsidR="000139C7" w:rsidRDefault="002D77B1">
            <w:pPr>
              <w:spacing w:line="252" w:lineRule="auto"/>
              <w:jc w:val="center"/>
            </w:pPr>
            <w:r>
              <w:rPr>
                <w:b/>
                <w:bCs/>
                <w:sz w:val="18"/>
                <w:szCs w:val="18"/>
              </w:rPr>
              <w:t>Máx. caída</w:t>
            </w:r>
          </w:p>
        </w:tc>
        <w:tc>
          <w:tcPr>
            <w:tcW w:w="1529"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0555A093" w14:textId="77777777" w:rsidR="000139C7" w:rsidRDefault="002D77B1">
            <w:pPr>
              <w:spacing w:line="252" w:lineRule="auto"/>
              <w:jc w:val="center"/>
            </w:pPr>
            <w:r>
              <w:rPr>
                <w:b/>
                <w:bCs/>
                <w:sz w:val="18"/>
                <w:szCs w:val="18"/>
              </w:rPr>
              <w:t>Valor final de $1</w:t>
            </w:r>
          </w:p>
        </w:tc>
      </w:tr>
      <w:tr w:rsidR="000139C7" w14:paraId="168FAAB6" w14:textId="77777777">
        <w:tblPrEx>
          <w:tblCellMar>
            <w:top w:w="0" w:type="dxa"/>
            <w:bottom w:w="0" w:type="dxa"/>
          </w:tblCellMar>
        </w:tblPrEx>
        <w:tc>
          <w:tcPr>
            <w:tcW w:w="2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9D8899" w14:textId="77777777" w:rsidR="000139C7" w:rsidRDefault="002D77B1">
            <w:pPr>
              <w:spacing w:line="252" w:lineRule="auto"/>
            </w:pPr>
            <w:r>
              <w:rPr>
                <w:sz w:val="18"/>
                <w:szCs w:val="18"/>
              </w:rPr>
              <w:t>1/N</w:t>
            </w:r>
          </w:p>
        </w:tc>
        <w:tc>
          <w:tcPr>
            <w:tcW w:w="1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8E53B1" w14:textId="77777777" w:rsidR="000139C7" w:rsidRDefault="002D77B1">
            <w:pPr>
              <w:spacing w:line="252" w:lineRule="auto"/>
              <w:jc w:val="center"/>
            </w:pPr>
            <w:r>
              <w:rPr>
                <w:sz w:val="18"/>
                <w:szCs w:val="18"/>
              </w:rPr>
              <w:t>3,3 %</w:t>
            </w:r>
          </w:p>
        </w:tc>
        <w:tc>
          <w:tcPr>
            <w:tcW w:w="9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2D5551" w14:textId="77777777" w:rsidR="000139C7" w:rsidRDefault="002D77B1">
            <w:pPr>
              <w:spacing w:line="252" w:lineRule="auto"/>
              <w:jc w:val="center"/>
            </w:pPr>
            <w:r>
              <w:rPr>
                <w:sz w:val="18"/>
                <w:szCs w:val="18"/>
              </w:rPr>
              <w:t>14,9 %</w:t>
            </w:r>
          </w:p>
        </w:tc>
        <w:tc>
          <w:tcPr>
            <w:tcW w:w="1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2EB7C1" w14:textId="77777777" w:rsidR="000139C7" w:rsidRDefault="002D77B1">
            <w:pPr>
              <w:spacing w:line="252" w:lineRule="auto"/>
              <w:jc w:val="center"/>
            </w:pPr>
            <w:r>
              <w:rPr>
                <w:sz w:val="18"/>
                <w:szCs w:val="18"/>
              </w:rPr>
              <w:t>−</w:t>
            </w:r>
            <w:r>
              <w:rPr>
                <w:sz w:val="18"/>
                <w:szCs w:val="18"/>
              </w:rPr>
              <w:t>0,24</w:t>
            </w:r>
          </w:p>
        </w:tc>
        <w:tc>
          <w:tcPr>
            <w:tcW w:w="8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4C2ADA" w14:textId="77777777" w:rsidR="000139C7" w:rsidRDefault="002D77B1">
            <w:pPr>
              <w:spacing w:line="252" w:lineRule="auto"/>
              <w:jc w:val="center"/>
            </w:pPr>
            <w:r>
              <w:rPr>
                <w:sz w:val="18"/>
                <w:szCs w:val="18"/>
              </w:rPr>
              <w:t>−</w:t>
            </w:r>
            <w:r>
              <w:rPr>
                <w:sz w:val="18"/>
                <w:szCs w:val="18"/>
              </w:rPr>
              <w:t>35,6 %</w:t>
            </w:r>
          </w:p>
        </w:tc>
        <w:tc>
          <w:tcPr>
            <w:tcW w:w="15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14A877" w14:textId="77777777" w:rsidR="000139C7" w:rsidRDefault="002D77B1">
            <w:pPr>
              <w:spacing w:line="252" w:lineRule="auto"/>
              <w:jc w:val="center"/>
            </w:pPr>
            <w:r>
              <w:rPr>
                <w:sz w:val="18"/>
                <w:szCs w:val="18"/>
              </w:rPr>
              <w:t>1,145</w:t>
            </w:r>
          </w:p>
        </w:tc>
      </w:tr>
      <w:tr w:rsidR="000139C7" w14:paraId="3100BAFD" w14:textId="77777777">
        <w:tblPrEx>
          <w:tblCellMar>
            <w:top w:w="0" w:type="dxa"/>
            <w:bottom w:w="0" w:type="dxa"/>
          </w:tblCellMar>
        </w:tblPrEx>
        <w:tc>
          <w:tcPr>
            <w:tcW w:w="2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94CB8E" w14:textId="77777777" w:rsidR="000139C7" w:rsidRDefault="002D77B1">
            <w:pPr>
              <w:spacing w:line="252" w:lineRule="auto"/>
            </w:pPr>
            <w:r>
              <w:rPr>
                <w:sz w:val="18"/>
                <w:szCs w:val="18"/>
              </w:rPr>
              <w:t>Paridad de riesgo</w:t>
            </w:r>
          </w:p>
        </w:tc>
        <w:tc>
          <w:tcPr>
            <w:tcW w:w="1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51CC59" w14:textId="77777777" w:rsidR="000139C7" w:rsidRDefault="002D77B1">
            <w:pPr>
              <w:spacing w:line="252" w:lineRule="auto"/>
              <w:jc w:val="center"/>
            </w:pPr>
            <w:r>
              <w:rPr>
                <w:sz w:val="18"/>
                <w:szCs w:val="18"/>
              </w:rPr>
              <w:t>2,7 %</w:t>
            </w:r>
          </w:p>
        </w:tc>
        <w:tc>
          <w:tcPr>
            <w:tcW w:w="9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1929ED" w14:textId="77777777" w:rsidR="000139C7" w:rsidRDefault="002D77B1">
            <w:pPr>
              <w:spacing w:line="252" w:lineRule="auto"/>
              <w:jc w:val="center"/>
            </w:pPr>
            <w:r>
              <w:rPr>
                <w:sz w:val="18"/>
                <w:szCs w:val="18"/>
              </w:rPr>
              <w:t>14,8 %</w:t>
            </w:r>
          </w:p>
        </w:tc>
        <w:tc>
          <w:tcPr>
            <w:tcW w:w="1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6A60C3" w14:textId="77777777" w:rsidR="000139C7" w:rsidRDefault="002D77B1">
            <w:pPr>
              <w:spacing w:line="252" w:lineRule="auto"/>
              <w:jc w:val="center"/>
            </w:pPr>
            <w:r>
              <w:rPr>
                <w:sz w:val="18"/>
                <w:szCs w:val="18"/>
              </w:rPr>
              <w:t>−</w:t>
            </w:r>
            <w:r>
              <w:rPr>
                <w:sz w:val="18"/>
                <w:szCs w:val="18"/>
              </w:rPr>
              <w:t>0,28</w:t>
            </w:r>
          </w:p>
        </w:tc>
        <w:tc>
          <w:tcPr>
            <w:tcW w:w="8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0ECF64" w14:textId="77777777" w:rsidR="000139C7" w:rsidRDefault="002D77B1">
            <w:pPr>
              <w:spacing w:line="252" w:lineRule="auto"/>
              <w:jc w:val="center"/>
            </w:pPr>
            <w:r>
              <w:rPr>
                <w:sz w:val="18"/>
                <w:szCs w:val="18"/>
              </w:rPr>
              <w:t>−</w:t>
            </w:r>
            <w:r>
              <w:rPr>
                <w:sz w:val="18"/>
                <w:szCs w:val="18"/>
              </w:rPr>
              <w:t>37,0 %</w:t>
            </w:r>
          </w:p>
        </w:tc>
        <w:tc>
          <w:tcPr>
            <w:tcW w:w="15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36EBCC" w14:textId="77777777" w:rsidR="000139C7" w:rsidRDefault="002D77B1">
            <w:pPr>
              <w:spacing w:line="252" w:lineRule="auto"/>
              <w:jc w:val="center"/>
            </w:pPr>
            <w:r>
              <w:rPr>
                <w:sz w:val="18"/>
                <w:szCs w:val="18"/>
              </w:rPr>
              <w:t>1,115</w:t>
            </w:r>
          </w:p>
        </w:tc>
      </w:tr>
      <w:tr w:rsidR="000139C7" w14:paraId="0E16EFB9" w14:textId="77777777">
        <w:tblPrEx>
          <w:tblCellMar>
            <w:top w:w="0" w:type="dxa"/>
            <w:bottom w:w="0" w:type="dxa"/>
          </w:tblCellMar>
        </w:tblPrEx>
        <w:tc>
          <w:tcPr>
            <w:tcW w:w="2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125980" w14:textId="77777777" w:rsidR="000139C7" w:rsidRDefault="002D77B1">
            <w:pPr>
              <w:spacing w:line="252" w:lineRule="auto"/>
            </w:pPr>
            <w:r>
              <w:rPr>
                <w:sz w:val="18"/>
                <w:szCs w:val="18"/>
              </w:rPr>
              <w:t>Mínima varianza Ledoit-Wolf</w:t>
            </w:r>
          </w:p>
        </w:tc>
        <w:tc>
          <w:tcPr>
            <w:tcW w:w="1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0031F4" w14:textId="77777777" w:rsidR="000139C7" w:rsidRDefault="002D77B1">
            <w:pPr>
              <w:spacing w:line="252" w:lineRule="auto"/>
              <w:jc w:val="center"/>
            </w:pPr>
            <w:r>
              <w:rPr>
                <w:sz w:val="18"/>
                <w:szCs w:val="18"/>
              </w:rPr>
              <w:t>1,4 %</w:t>
            </w:r>
          </w:p>
        </w:tc>
        <w:tc>
          <w:tcPr>
            <w:tcW w:w="9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894F28" w14:textId="77777777" w:rsidR="000139C7" w:rsidRDefault="002D77B1">
            <w:pPr>
              <w:spacing w:line="252" w:lineRule="auto"/>
              <w:jc w:val="center"/>
            </w:pPr>
            <w:r>
              <w:rPr>
                <w:sz w:val="18"/>
                <w:szCs w:val="18"/>
              </w:rPr>
              <w:t>15,0 %</w:t>
            </w:r>
          </w:p>
        </w:tc>
        <w:tc>
          <w:tcPr>
            <w:tcW w:w="1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AE927E" w14:textId="77777777" w:rsidR="000139C7" w:rsidRDefault="002D77B1">
            <w:pPr>
              <w:spacing w:line="252" w:lineRule="auto"/>
              <w:jc w:val="center"/>
            </w:pPr>
            <w:r>
              <w:rPr>
                <w:sz w:val="18"/>
                <w:szCs w:val="18"/>
              </w:rPr>
              <w:t>−</w:t>
            </w:r>
            <w:r>
              <w:rPr>
                <w:sz w:val="18"/>
                <w:szCs w:val="18"/>
              </w:rPr>
              <w:t>0,36</w:t>
            </w:r>
          </w:p>
        </w:tc>
        <w:tc>
          <w:tcPr>
            <w:tcW w:w="8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36A0E6" w14:textId="77777777" w:rsidR="000139C7" w:rsidRDefault="002D77B1">
            <w:pPr>
              <w:spacing w:line="252" w:lineRule="auto"/>
              <w:jc w:val="center"/>
            </w:pPr>
            <w:r>
              <w:rPr>
                <w:sz w:val="18"/>
                <w:szCs w:val="18"/>
              </w:rPr>
              <w:t>−</w:t>
            </w:r>
            <w:r>
              <w:rPr>
                <w:sz w:val="18"/>
                <w:szCs w:val="18"/>
              </w:rPr>
              <w:t>38,7 %</w:t>
            </w:r>
          </w:p>
        </w:tc>
        <w:tc>
          <w:tcPr>
            <w:tcW w:w="15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C76914" w14:textId="77777777" w:rsidR="000139C7" w:rsidRDefault="002D77B1">
            <w:pPr>
              <w:spacing w:line="252" w:lineRule="auto"/>
              <w:jc w:val="center"/>
            </w:pPr>
            <w:r>
              <w:rPr>
                <w:sz w:val="18"/>
                <w:szCs w:val="18"/>
              </w:rPr>
              <w:t>1,061</w:t>
            </w:r>
          </w:p>
        </w:tc>
      </w:tr>
      <w:tr w:rsidR="000139C7" w14:paraId="2EFBA963" w14:textId="77777777">
        <w:tblPrEx>
          <w:tblCellMar>
            <w:top w:w="0" w:type="dxa"/>
            <w:bottom w:w="0" w:type="dxa"/>
          </w:tblCellMar>
        </w:tblPrEx>
        <w:tc>
          <w:tcPr>
            <w:tcW w:w="2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F73C50" w14:textId="77777777" w:rsidR="000139C7" w:rsidRDefault="002D77B1">
            <w:pPr>
              <w:spacing w:line="252" w:lineRule="auto"/>
            </w:pPr>
            <w:r>
              <w:rPr>
                <w:sz w:val="18"/>
                <w:szCs w:val="18"/>
              </w:rPr>
              <w:t>Mínima varianza muestral</w:t>
            </w:r>
          </w:p>
        </w:tc>
        <w:tc>
          <w:tcPr>
            <w:tcW w:w="1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D19411" w14:textId="77777777" w:rsidR="000139C7" w:rsidRDefault="002D77B1">
            <w:pPr>
              <w:spacing w:line="252" w:lineRule="auto"/>
              <w:jc w:val="center"/>
            </w:pPr>
            <w:r>
              <w:rPr>
                <w:sz w:val="18"/>
                <w:szCs w:val="18"/>
              </w:rPr>
              <w:t>−</w:t>
            </w:r>
            <w:r>
              <w:rPr>
                <w:sz w:val="18"/>
                <w:szCs w:val="18"/>
              </w:rPr>
              <w:t>2,8 %</w:t>
            </w:r>
          </w:p>
        </w:tc>
        <w:tc>
          <w:tcPr>
            <w:tcW w:w="9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A2332" w14:textId="77777777" w:rsidR="000139C7" w:rsidRDefault="002D77B1">
            <w:pPr>
              <w:spacing w:line="252" w:lineRule="auto"/>
              <w:jc w:val="center"/>
            </w:pPr>
            <w:r>
              <w:rPr>
                <w:sz w:val="18"/>
                <w:szCs w:val="18"/>
              </w:rPr>
              <w:t>15,6 %</w:t>
            </w:r>
          </w:p>
        </w:tc>
        <w:tc>
          <w:tcPr>
            <w:tcW w:w="1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9518E5" w14:textId="77777777" w:rsidR="000139C7" w:rsidRDefault="002D77B1">
            <w:pPr>
              <w:spacing w:line="252" w:lineRule="auto"/>
              <w:jc w:val="center"/>
            </w:pPr>
            <w:r>
              <w:rPr>
                <w:sz w:val="18"/>
                <w:szCs w:val="18"/>
              </w:rPr>
              <w:t>−</w:t>
            </w:r>
            <w:r>
              <w:rPr>
                <w:sz w:val="18"/>
                <w:szCs w:val="18"/>
              </w:rPr>
              <w:t>0,62</w:t>
            </w:r>
          </w:p>
        </w:tc>
        <w:tc>
          <w:tcPr>
            <w:tcW w:w="8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E8D9F8" w14:textId="77777777" w:rsidR="000139C7" w:rsidRDefault="002D77B1">
            <w:pPr>
              <w:spacing w:line="252" w:lineRule="auto"/>
              <w:jc w:val="center"/>
            </w:pPr>
            <w:r>
              <w:rPr>
                <w:sz w:val="18"/>
                <w:szCs w:val="18"/>
              </w:rPr>
              <w:t>−</w:t>
            </w:r>
            <w:r>
              <w:rPr>
                <w:sz w:val="18"/>
                <w:szCs w:val="18"/>
              </w:rPr>
              <w:t>47,1 %</w:t>
            </w:r>
          </w:p>
        </w:tc>
        <w:tc>
          <w:tcPr>
            <w:tcW w:w="15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EAB39" w14:textId="77777777" w:rsidR="000139C7" w:rsidRDefault="002D77B1">
            <w:pPr>
              <w:spacing w:line="252" w:lineRule="auto"/>
              <w:jc w:val="center"/>
            </w:pPr>
            <w:r>
              <w:rPr>
                <w:sz w:val="18"/>
                <w:szCs w:val="18"/>
              </w:rPr>
              <w:t>0,890</w:t>
            </w:r>
          </w:p>
        </w:tc>
      </w:tr>
      <w:tr w:rsidR="000139C7" w14:paraId="16164A0F" w14:textId="77777777">
        <w:tblPrEx>
          <w:tblCellMar>
            <w:top w:w="0" w:type="dxa"/>
            <w:bottom w:w="0" w:type="dxa"/>
          </w:tblCellMar>
        </w:tblPrEx>
        <w:tc>
          <w:tcPr>
            <w:tcW w:w="2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9E023A" w14:textId="77777777" w:rsidR="000139C7" w:rsidRDefault="002D77B1">
            <w:pPr>
              <w:spacing w:line="252" w:lineRule="auto"/>
            </w:pPr>
            <w:r>
              <w:rPr>
                <w:sz w:val="18"/>
                <w:szCs w:val="18"/>
              </w:rPr>
              <w:t>Mínimo CVaR</w:t>
            </w:r>
          </w:p>
        </w:tc>
        <w:tc>
          <w:tcPr>
            <w:tcW w:w="1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81494" w14:textId="77777777" w:rsidR="000139C7" w:rsidRDefault="002D77B1">
            <w:pPr>
              <w:spacing w:line="252" w:lineRule="auto"/>
              <w:jc w:val="center"/>
            </w:pPr>
            <w:r>
              <w:rPr>
                <w:sz w:val="18"/>
                <w:szCs w:val="18"/>
              </w:rPr>
              <w:t>−</w:t>
            </w:r>
            <w:r>
              <w:rPr>
                <w:sz w:val="18"/>
                <w:szCs w:val="18"/>
              </w:rPr>
              <w:t>3,6 %</w:t>
            </w:r>
          </w:p>
        </w:tc>
        <w:tc>
          <w:tcPr>
            <w:tcW w:w="9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CA63BB" w14:textId="77777777" w:rsidR="000139C7" w:rsidRDefault="002D77B1">
            <w:pPr>
              <w:spacing w:line="252" w:lineRule="auto"/>
              <w:jc w:val="center"/>
            </w:pPr>
            <w:r>
              <w:rPr>
                <w:sz w:val="18"/>
                <w:szCs w:val="18"/>
              </w:rPr>
              <w:t>16,5 %</w:t>
            </w:r>
          </w:p>
        </w:tc>
        <w:tc>
          <w:tcPr>
            <w:tcW w:w="1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60E157" w14:textId="77777777" w:rsidR="000139C7" w:rsidRDefault="002D77B1">
            <w:pPr>
              <w:spacing w:line="252" w:lineRule="auto"/>
              <w:jc w:val="center"/>
            </w:pPr>
            <w:r>
              <w:rPr>
                <w:sz w:val="18"/>
                <w:szCs w:val="18"/>
              </w:rPr>
              <w:t>−</w:t>
            </w:r>
            <w:r>
              <w:rPr>
                <w:sz w:val="18"/>
                <w:szCs w:val="18"/>
              </w:rPr>
              <w:t>0,62</w:t>
            </w:r>
          </w:p>
        </w:tc>
        <w:tc>
          <w:tcPr>
            <w:tcW w:w="8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B1895E" w14:textId="77777777" w:rsidR="000139C7" w:rsidRDefault="002D77B1">
            <w:pPr>
              <w:spacing w:line="252" w:lineRule="auto"/>
              <w:jc w:val="center"/>
            </w:pPr>
            <w:r>
              <w:rPr>
                <w:sz w:val="18"/>
                <w:szCs w:val="18"/>
              </w:rPr>
              <w:t>−</w:t>
            </w:r>
            <w:r>
              <w:rPr>
                <w:sz w:val="18"/>
                <w:szCs w:val="18"/>
              </w:rPr>
              <w:t>45,0 %</w:t>
            </w:r>
          </w:p>
        </w:tc>
        <w:tc>
          <w:tcPr>
            <w:tcW w:w="15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EFAEEB" w14:textId="77777777" w:rsidR="000139C7" w:rsidRDefault="002D77B1">
            <w:pPr>
              <w:spacing w:line="252" w:lineRule="auto"/>
              <w:jc w:val="center"/>
            </w:pPr>
            <w:r>
              <w:rPr>
                <w:sz w:val="18"/>
                <w:szCs w:val="18"/>
              </w:rPr>
              <w:t>0,859</w:t>
            </w:r>
          </w:p>
        </w:tc>
      </w:tr>
      <w:tr w:rsidR="000139C7" w14:paraId="75B23148" w14:textId="77777777">
        <w:tblPrEx>
          <w:tblCellMar>
            <w:top w:w="0" w:type="dxa"/>
            <w:bottom w:w="0" w:type="dxa"/>
          </w:tblCellMar>
        </w:tblPrEx>
        <w:tc>
          <w:tcPr>
            <w:tcW w:w="26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23EF5F" w14:textId="77777777" w:rsidR="000139C7" w:rsidRDefault="002D77B1">
            <w:pPr>
              <w:spacing w:line="252" w:lineRule="auto"/>
            </w:pPr>
            <w:r>
              <w:rPr>
                <w:sz w:val="18"/>
                <w:szCs w:val="18"/>
              </w:rPr>
              <w:t>IBR overnight</w:t>
            </w:r>
          </w:p>
        </w:tc>
        <w:tc>
          <w:tcPr>
            <w:tcW w:w="1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A30C1E" w14:textId="77777777" w:rsidR="000139C7" w:rsidRDefault="002D77B1">
            <w:pPr>
              <w:spacing w:line="252" w:lineRule="auto"/>
              <w:jc w:val="center"/>
            </w:pPr>
            <w:r>
              <w:rPr>
                <w:sz w:val="18"/>
                <w:szCs w:val="18"/>
              </w:rPr>
              <w:t>8,3 %</w:t>
            </w:r>
          </w:p>
        </w:tc>
        <w:tc>
          <w:tcPr>
            <w:tcW w:w="9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14B76F" w14:textId="77777777" w:rsidR="000139C7" w:rsidRDefault="002D77B1">
            <w:pPr>
              <w:spacing w:line="252" w:lineRule="auto"/>
              <w:jc w:val="center"/>
            </w:pPr>
            <w:r>
              <w:rPr>
                <w:sz w:val="18"/>
                <w:szCs w:val="18"/>
              </w:rPr>
              <w:t>—</w:t>
            </w:r>
          </w:p>
        </w:tc>
        <w:tc>
          <w:tcPr>
            <w:tcW w:w="1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CE03AE" w14:textId="77777777" w:rsidR="000139C7" w:rsidRDefault="002D77B1">
            <w:pPr>
              <w:spacing w:line="252" w:lineRule="auto"/>
              <w:jc w:val="center"/>
            </w:pPr>
            <w:r>
              <w:rPr>
                <w:sz w:val="18"/>
                <w:szCs w:val="18"/>
              </w:rPr>
              <w:t>—</w:t>
            </w:r>
          </w:p>
        </w:tc>
        <w:tc>
          <w:tcPr>
            <w:tcW w:w="8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6FE254" w14:textId="77777777" w:rsidR="000139C7" w:rsidRDefault="002D77B1">
            <w:pPr>
              <w:spacing w:line="252" w:lineRule="auto"/>
              <w:jc w:val="center"/>
            </w:pPr>
            <w:r>
              <w:rPr>
                <w:sz w:val="18"/>
                <w:szCs w:val="18"/>
              </w:rPr>
              <w:t>—</w:t>
            </w:r>
          </w:p>
        </w:tc>
        <w:tc>
          <w:tcPr>
            <w:tcW w:w="15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4AB297" w14:textId="77777777" w:rsidR="000139C7" w:rsidRDefault="002D77B1">
            <w:pPr>
              <w:spacing w:line="252" w:lineRule="auto"/>
              <w:jc w:val="center"/>
            </w:pPr>
            <w:r>
              <w:rPr>
                <w:sz w:val="18"/>
                <w:szCs w:val="18"/>
              </w:rPr>
              <w:t>1,386</w:t>
            </w:r>
          </w:p>
        </w:tc>
      </w:tr>
    </w:tbl>
    <w:p w14:paraId="50197C9C" w14:textId="77777777" w:rsidR="000139C7" w:rsidRDefault="000139C7">
      <w:pPr>
        <w:spacing w:after="120"/>
      </w:pPr>
    </w:p>
    <w:p w14:paraId="7CCE4469" w14:textId="77777777" w:rsidR="000139C7" w:rsidRDefault="002D77B1">
      <w:pPr>
        <w:spacing w:after="160"/>
        <w:jc w:val="both"/>
      </w:pPr>
      <w:r>
        <w:rPr>
          <w:b/>
          <w:bCs/>
        </w:rPr>
        <w:t>La hipótesis no se confirmó.</w:t>
      </w:r>
      <w:r>
        <w:t xml:space="preserve"> Todas las diferencias de Sharpe frente al 1/N fueron negativas, y ninguna fue significativa tras Holm. Además, ninguna estrategia de renta variable superó al IBR: 2021–2023 fue un periodo negativo para la renta variable colombiana. Los costos no explican el resultado, porque sin costos el orden es el mismo. Ledoit-Wolf mejoró sistemáticamente a la covarianza muestral, como predice la teoría del error de estimación.</w:t>
      </w:r>
    </w:p>
    <w:p w14:paraId="102364E3" w14:textId="77777777" w:rsidR="000139C7" w:rsidRDefault="002D77B1">
      <w:pPr>
        <w:keepNext/>
        <w:spacing w:before="200" w:after="60"/>
        <w:jc w:val="center"/>
      </w:pPr>
      <w:r>
        <w:rPr>
          <w:noProof/>
        </w:rPr>
        <w:drawing>
          <wp:inline distT="0" distB="0" distL="0" distR="0" wp14:anchorId="2F004E9E" wp14:editId="39D4D958">
            <wp:extent cx="5715000" cy="19050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905000"/>
                    </a:xfrm>
                    <a:prstGeom prst="rect">
                      <a:avLst/>
                    </a:prstGeom>
                  </pic:spPr>
                </pic:pic>
              </a:graphicData>
            </a:graphic>
          </wp:inline>
        </w:drawing>
      </w:r>
    </w:p>
    <w:p w14:paraId="38E20BF1" w14:textId="77777777" w:rsidR="000139C7" w:rsidRDefault="002D77B1">
      <w:pPr>
        <w:spacing w:after="240"/>
        <w:jc w:val="center"/>
      </w:pPr>
      <w:r>
        <w:rPr>
          <w:b/>
          <w:bCs/>
          <w:sz w:val="19"/>
          <w:szCs w:val="19"/>
        </w:rPr>
        <w:t xml:space="preserve">Figura 7. </w:t>
      </w:r>
      <w:r>
        <w:rPr>
          <w:i/>
          <w:iCs/>
          <w:sz w:val="19"/>
          <w:szCs w:val="19"/>
        </w:rPr>
        <w:t>Riqueza acumulada de las estrategias en el backtesting 2021–2024.</w:t>
      </w:r>
    </w:p>
    <w:p w14:paraId="52F0EE39" w14:textId="77777777" w:rsidR="000139C7" w:rsidRDefault="002D77B1">
      <w:pPr>
        <w:pStyle w:val="Ttulo1"/>
      </w:pPr>
      <w:bookmarkStart w:id="16" w:name="_Toc242139804"/>
      <w:r>
        <w:t>11. Robustez</w:t>
      </w:r>
      <w:bookmarkEnd w:id="16"/>
    </w:p>
    <w:p w14:paraId="7FEFDA18" w14:textId="77777777" w:rsidR="000139C7" w:rsidRDefault="002D77B1">
      <w:pPr>
        <w:keepNext/>
        <w:spacing w:after="160"/>
        <w:jc w:val="both"/>
      </w:pPr>
      <w:r>
        <w:t xml:space="preserve">Después de la evaluación final se ejecutó un análisis de robustez </w:t>
      </w:r>
      <w:r>
        <w:rPr>
          <w:b/>
          <w:bCs/>
        </w:rPr>
        <w:t>exploratorio</w:t>
      </w:r>
      <w:r>
        <w:t>, con un plan y criterios registrados antes de calcular (DEC-037, DEC-038). Es exploratorio porque usa datos de prueba ya vistos. Cada una de las cuatro conclusiones centrales se sometió a variaciones de diseño: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2267"/>
        <w:gridCol w:w="2267"/>
        <w:gridCol w:w="2269"/>
      </w:tblGrid>
      <w:tr w:rsidR="000139C7" w14:paraId="57AA872D" w14:textId="77777777">
        <w:tblPrEx>
          <w:tblCellMar>
            <w:top w:w="0" w:type="dxa"/>
            <w:bottom w:w="0" w:type="dxa"/>
          </w:tblCellMar>
        </w:tblPrEx>
        <w:trPr>
          <w:tblHeader/>
        </w:trPr>
        <w:tc>
          <w:tcPr>
            <w:tcW w:w="2267"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2F8EBF4F" w14:textId="77777777" w:rsidR="000139C7" w:rsidRDefault="002D77B1">
            <w:pPr>
              <w:spacing w:line="252" w:lineRule="auto"/>
            </w:pPr>
            <w:r>
              <w:rPr>
                <w:b/>
                <w:bCs/>
                <w:sz w:val="18"/>
                <w:szCs w:val="18"/>
              </w:rPr>
              <w:t>Conclusión</w:t>
            </w:r>
          </w:p>
        </w:tc>
        <w:tc>
          <w:tcPr>
            <w:tcW w:w="2267"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124E0574" w14:textId="77777777" w:rsidR="000139C7" w:rsidRDefault="002D77B1">
            <w:pPr>
              <w:spacing w:line="252" w:lineRule="auto"/>
              <w:jc w:val="center"/>
            </w:pPr>
            <w:r>
              <w:rPr>
                <w:b/>
                <w:bCs/>
                <w:sz w:val="18"/>
                <w:szCs w:val="18"/>
              </w:rPr>
              <w:t>Variaciones</w:t>
            </w:r>
          </w:p>
        </w:tc>
        <w:tc>
          <w:tcPr>
            <w:tcW w:w="2267"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5633FF1E" w14:textId="77777777" w:rsidR="000139C7" w:rsidRDefault="002D77B1">
            <w:pPr>
              <w:spacing w:line="252" w:lineRule="auto"/>
              <w:jc w:val="center"/>
            </w:pPr>
            <w:r>
              <w:rPr>
                <w:b/>
                <w:bCs/>
                <w:sz w:val="18"/>
                <w:szCs w:val="18"/>
              </w:rPr>
              <w:t>Criterio registrado</w:t>
            </w:r>
          </w:p>
        </w:tc>
        <w:tc>
          <w:tcPr>
            <w:tcW w:w="2269"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23CF02C8" w14:textId="77777777" w:rsidR="000139C7" w:rsidRDefault="002D77B1">
            <w:pPr>
              <w:spacing w:line="252" w:lineRule="auto"/>
              <w:jc w:val="center"/>
            </w:pPr>
            <w:r>
              <w:rPr>
                <w:b/>
                <w:bCs/>
                <w:sz w:val="18"/>
                <w:szCs w:val="18"/>
              </w:rPr>
              <w:t>Resultado</w:t>
            </w:r>
          </w:p>
        </w:tc>
      </w:tr>
      <w:tr w:rsidR="000139C7" w14:paraId="6E62BC38" w14:textId="77777777">
        <w:tblPrEx>
          <w:tblCellMar>
            <w:top w:w="0" w:type="dxa"/>
            <w:bottom w:w="0" w:type="dxa"/>
          </w:tblCellMar>
        </w:tblPrEx>
        <w:tc>
          <w:tcPr>
            <w:tcW w:w="22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109EFE" w14:textId="77777777" w:rsidR="000139C7" w:rsidRDefault="002D77B1">
            <w:pPr>
              <w:spacing w:line="252" w:lineRule="auto"/>
            </w:pPr>
            <w:r>
              <w:rPr>
                <w:sz w:val="18"/>
                <w:szCs w:val="18"/>
              </w:rPr>
              <w:t>C1. El rendimiento diario no es predecible mejor que la media</w:t>
            </w:r>
          </w:p>
        </w:tc>
        <w:tc>
          <w:tcPr>
            <w:tcW w:w="22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B0415A" w14:textId="77777777" w:rsidR="000139C7" w:rsidRDefault="002D77B1">
            <w:pPr>
              <w:spacing w:line="252" w:lineRule="auto"/>
              <w:jc w:val="center"/>
            </w:pPr>
            <w:r>
              <w:rPr>
                <w:sz w:val="18"/>
                <w:szCs w:val="18"/>
              </w:rPr>
              <w:t>ARIMA, RF y GB reestimados año a año, 2021–2026</w:t>
            </w:r>
          </w:p>
        </w:tc>
        <w:tc>
          <w:tcPr>
            <w:tcW w:w="22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C7F3B0" w14:textId="77777777" w:rsidR="000139C7" w:rsidRDefault="002D77B1">
            <w:pPr>
              <w:spacing w:line="252" w:lineRule="auto"/>
              <w:jc w:val="center"/>
            </w:pPr>
            <w:r>
              <w:rPr>
                <w:sz w:val="18"/>
                <w:szCs w:val="18"/>
              </w:rPr>
              <w:t>Ningún año con un modelo mejor que la media (Holm 5 %)</w:t>
            </w:r>
          </w:p>
        </w:tc>
        <w:tc>
          <w:tcPr>
            <w:tcW w:w="22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DC602F" w14:textId="77777777" w:rsidR="000139C7" w:rsidRDefault="002D77B1">
            <w:pPr>
              <w:spacing w:line="252" w:lineRule="auto"/>
              <w:jc w:val="center"/>
            </w:pPr>
            <w:r>
              <w:rPr>
                <w:sz w:val="18"/>
                <w:szCs w:val="18"/>
              </w:rPr>
              <w:t>Robusta: ningún año; R² fuera de muestra entre −8,8 % y +1,2 %</w:t>
            </w:r>
          </w:p>
        </w:tc>
      </w:tr>
      <w:tr w:rsidR="000139C7" w14:paraId="10BC28B7" w14:textId="77777777">
        <w:tblPrEx>
          <w:tblCellMar>
            <w:top w:w="0" w:type="dxa"/>
            <w:bottom w:w="0" w:type="dxa"/>
          </w:tblCellMar>
        </w:tblPrEx>
        <w:tc>
          <w:tcPr>
            <w:tcW w:w="22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DBA5AE" w14:textId="77777777" w:rsidR="000139C7" w:rsidRDefault="002D77B1">
            <w:pPr>
              <w:spacing w:line="252" w:lineRule="auto"/>
            </w:pPr>
            <w:r>
              <w:rPr>
                <w:sz w:val="18"/>
                <w:szCs w:val="18"/>
              </w:rPr>
              <w:t>C2. EWMA es difícil de superar en volatilidad</w:t>
            </w:r>
          </w:p>
        </w:tc>
        <w:tc>
          <w:tcPr>
            <w:tcW w:w="22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6FEF6E" w14:textId="77777777" w:rsidR="000139C7" w:rsidRDefault="002D77B1">
            <w:pPr>
              <w:spacing w:line="252" w:lineRule="auto"/>
              <w:jc w:val="center"/>
            </w:pPr>
            <w:r>
              <w:rPr>
                <w:sz w:val="18"/>
                <w:szCs w:val="18"/>
              </w:rPr>
              <w:t>6 años; λ = 0,90, 0,94 y 0,97</w:t>
            </w:r>
          </w:p>
        </w:tc>
        <w:tc>
          <w:tcPr>
            <w:tcW w:w="22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414C63" w14:textId="77777777" w:rsidR="000139C7" w:rsidRDefault="002D77B1">
            <w:pPr>
              <w:spacing w:line="252" w:lineRule="auto"/>
              <w:jc w:val="center"/>
            </w:pPr>
            <w:r>
              <w:rPr>
                <w:sz w:val="18"/>
                <w:szCs w:val="18"/>
              </w:rPr>
              <w:t>Algún EWMA en el MCS todos los años</w:t>
            </w:r>
          </w:p>
        </w:tc>
        <w:tc>
          <w:tcPr>
            <w:tcW w:w="22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1C74DD" w14:textId="77777777" w:rsidR="000139C7" w:rsidRDefault="002D77B1">
            <w:pPr>
              <w:spacing w:line="252" w:lineRule="auto"/>
              <w:jc w:val="center"/>
            </w:pPr>
            <w:r>
              <w:rPr>
                <w:sz w:val="18"/>
                <w:szCs w:val="18"/>
              </w:rPr>
              <w:t>Robusta: 6 de 6 años; menor QLIKE en 5 de 6</w:t>
            </w:r>
          </w:p>
        </w:tc>
      </w:tr>
      <w:tr w:rsidR="000139C7" w14:paraId="410566FD" w14:textId="77777777">
        <w:tblPrEx>
          <w:tblCellMar>
            <w:top w:w="0" w:type="dxa"/>
            <w:bottom w:w="0" w:type="dxa"/>
          </w:tblCellMar>
        </w:tblPrEx>
        <w:tc>
          <w:tcPr>
            <w:tcW w:w="22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72B393" w14:textId="77777777" w:rsidR="000139C7" w:rsidRDefault="002D77B1">
            <w:pPr>
              <w:spacing w:line="252" w:lineRule="auto"/>
            </w:pPr>
            <w:r>
              <w:rPr>
                <w:sz w:val="18"/>
                <w:szCs w:val="18"/>
              </w:rPr>
              <w:t>C3. El VaR normal subestima la cola; FHS está mejor calibrado</w:t>
            </w:r>
          </w:p>
        </w:tc>
        <w:tc>
          <w:tcPr>
            <w:tcW w:w="22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5FBFA1" w14:textId="77777777" w:rsidR="000139C7" w:rsidRDefault="002D77B1">
            <w:pPr>
              <w:spacing w:line="252" w:lineRule="auto"/>
              <w:jc w:val="center"/>
            </w:pPr>
            <w:r>
              <w:rPr>
                <w:sz w:val="18"/>
                <w:szCs w:val="18"/>
              </w:rPr>
              <w:t>6 años, VaR al 99 %</w:t>
            </w:r>
          </w:p>
        </w:tc>
        <w:tc>
          <w:tcPr>
            <w:tcW w:w="22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476A49" w14:textId="77777777" w:rsidR="000139C7" w:rsidRDefault="002D77B1">
            <w:pPr>
              <w:spacing w:line="252" w:lineRule="auto"/>
              <w:jc w:val="center"/>
            </w:pPr>
            <w:r>
              <w:rPr>
                <w:sz w:val="18"/>
                <w:szCs w:val="18"/>
              </w:rPr>
              <w:t>Más excesos de los esperados la mayoría de los años</w:t>
            </w:r>
          </w:p>
        </w:tc>
        <w:tc>
          <w:tcPr>
            <w:tcW w:w="22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C57AD0" w14:textId="77777777" w:rsidR="000139C7" w:rsidRDefault="002D77B1">
            <w:pPr>
              <w:spacing w:line="252" w:lineRule="auto"/>
              <w:jc w:val="center"/>
            </w:pPr>
            <w:r>
              <w:rPr>
                <w:sz w:val="18"/>
                <w:szCs w:val="18"/>
              </w:rPr>
              <w:t>Robusta: 6 de 6 años en ambos criterios</w:t>
            </w:r>
          </w:p>
        </w:tc>
      </w:tr>
      <w:tr w:rsidR="000139C7" w14:paraId="5D95DFE6" w14:textId="77777777">
        <w:tblPrEx>
          <w:tblCellMar>
            <w:top w:w="0" w:type="dxa"/>
            <w:bottom w:w="0" w:type="dxa"/>
          </w:tblCellMar>
        </w:tblPrEx>
        <w:tc>
          <w:tcPr>
            <w:tcW w:w="22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4CC132" w14:textId="77777777" w:rsidR="000139C7" w:rsidRDefault="002D77B1">
            <w:pPr>
              <w:spacing w:line="252" w:lineRule="auto"/>
            </w:pPr>
            <w:r>
              <w:rPr>
                <w:sz w:val="18"/>
                <w:szCs w:val="18"/>
              </w:rPr>
              <w:t>C4. Ninguna estrategia de riesgo supera al 1/N</w:t>
            </w:r>
          </w:p>
        </w:tc>
        <w:tc>
          <w:tcPr>
            <w:tcW w:w="22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9C4101" w14:textId="77777777" w:rsidR="000139C7" w:rsidRDefault="002D77B1">
            <w:pPr>
              <w:spacing w:line="252" w:lineRule="auto"/>
              <w:jc w:val="center"/>
            </w:pPr>
            <w:r>
              <w:rPr>
                <w:sz w:val="18"/>
                <w:szCs w:val="18"/>
              </w:rPr>
              <w:t>24 configuraciones: ventana (126, 252, 504 días) × peso máximo (20 %, 30 %, 50 %) × universo (9, 4 líquidas, 7 sin ETB ni Nutresa)</w:t>
            </w:r>
          </w:p>
        </w:tc>
        <w:tc>
          <w:tcPr>
            <w:tcW w:w="22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7692C9" w14:textId="77777777" w:rsidR="000139C7" w:rsidRDefault="002D77B1">
            <w:pPr>
              <w:spacing w:line="252" w:lineRule="auto"/>
              <w:jc w:val="center"/>
            </w:pPr>
            <w:r>
              <w:rPr>
                <w:sz w:val="18"/>
                <w:szCs w:val="18"/>
              </w:rPr>
              <w:t>No más de la mitad de las configuraciones a favor</w:t>
            </w:r>
          </w:p>
        </w:tc>
        <w:tc>
          <w:tcPr>
            <w:tcW w:w="22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EA178B" w14:textId="77777777" w:rsidR="000139C7" w:rsidRDefault="002D77B1">
            <w:pPr>
              <w:spacing w:line="252" w:lineRule="auto"/>
              <w:jc w:val="center"/>
            </w:pPr>
            <w:r>
              <w:rPr>
                <w:sz w:val="18"/>
                <w:szCs w:val="18"/>
              </w:rPr>
              <w:t>Robusta: 96 de 96 diferencias negativas</w:t>
            </w:r>
          </w:p>
        </w:tc>
      </w:tr>
    </w:tbl>
    <w:p w14:paraId="59BB616E" w14:textId="77777777" w:rsidR="000139C7" w:rsidRDefault="000139C7">
      <w:pPr>
        <w:spacing w:after="120"/>
      </w:pPr>
    </w:p>
    <w:p w14:paraId="0495A1DD" w14:textId="77777777" w:rsidR="000139C7" w:rsidRDefault="002D77B1">
      <w:pPr>
        <w:keepNext/>
        <w:spacing w:before="200" w:after="60"/>
        <w:jc w:val="center"/>
      </w:pPr>
      <w:r>
        <w:rPr>
          <w:noProof/>
        </w:rPr>
        <w:lastRenderedPageBreak/>
        <w:drawing>
          <wp:inline distT="0" distB="0" distL="0" distR="0" wp14:anchorId="35A2C58F" wp14:editId="4081C874">
            <wp:extent cx="5715000" cy="48768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4876800"/>
                    </a:xfrm>
                    <a:prstGeom prst="rect">
                      <a:avLst/>
                    </a:prstGeom>
                  </pic:spPr>
                </pic:pic>
              </a:graphicData>
            </a:graphic>
          </wp:inline>
        </w:drawing>
      </w:r>
    </w:p>
    <w:p w14:paraId="7B6F5A26" w14:textId="77777777" w:rsidR="000139C7" w:rsidRDefault="002D77B1">
      <w:pPr>
        <w:spacing w:after="240"/>
        <w:jc w:val="center"/>
      </w:pPr>
      <w:r>
        <w:rPr>
          <w:b/>
          <w:bCs/>
          <w:sz w:val="19"/>
          <w:szCs w:val="19"/>
        </w:rPr>
        <w:t xml:space="preserve">Figura 8. </w:t>
      </w:r>
      <w:r>
        <w:rPr>
          <w:i/>
          <w:iCs/>
          <w:sz w:val="19"/>
          <w:szCs w:val="19"/>
        </w:rPr>
        <w:t>Robustez de los portafolios: comparación con el 1/N en las configuraciones de la Fase 16.</w:t>
      </w:r>
    </w:p>
    <w:p w14:paraId="79E24CDA" w14:textId="77777777" w:rsidR="000139C7" w:rsidRDefault="002D77B1">
      <w:pPr>
        <w:pStyle w:val="Ttulo1"/>
      </w:pPr>
      <w:bookmarkStart w:id="17" w:name="_Toc242139805"/>
      <w:r>
        <w:t>12. Comparación final en el bloque de prueba</w:t>
      </w:r>
      <w:bookmarkEnd w:id="17"/>
    </w:p>
    <w:p w14:paraId="79AB3A82" w14:textId="77777777" w:rsidR="000139C7" w:rsidRDefault="002D77B1">
      <w:pPr>
        <w:pStyle w:val="Ttulo2"/>
      </w:pPr>
      <w:bookmarkStart w:id="18" w:name="_Toc242139806"/>
      <w:r>
        <w:t>12.1 Protocolo</w:t>
      </w:r>
      <w:bookmarkEnd w:id="18"/>
    </w:p>
    <w:p w14:paraId="38F07C0C" w14:textId="77777777" w:rsidR="000139C7" w:rsidRDefault="002D77B1">
      <w:pPr>
        <w:spacing w:after="160"/>
        <w:jc w:val="both"/>
      </w:pPr>
      <w:r>
        <w:t>El plan de la evaluación final (DEC-034) fue aprobado por el equipo y el profesor antes de abrir el bloque de prueba. Fijó las cinco familias de hipótesis, las pruebas, la regla para las fechas sospechosas y la reestimación de los modelos con 2020–2024 usando los mismos procedimientos de selección ya congelados.</w:t>
      </w:r>
    </w:p>
    <w:p w14:paraId="7CD3A4B5" w14:textId="77777777" w:rsidR="000139C7" w:rsidRDefault="002D77B1">
      <w:pPr>
        <w:spacing w:after="160"/>
        <w:jc w:val="both"/>
      </w:pPr>
      <w:r>
        <w:t>Antes de abrir la prueba se ejecutó un ensayo con 2024 como si fuera la prueba, que reprodujo los resultados de las fases anteriores con una diferencia máxima de 7 × 10⁻⁷. La primera ejecución final se interrumpió por un error de programación en una semana que cruzaba la frontera entre historia y prueba, sin haber producido ningún resultado. El error se documentó y se corrigió con un test nuevo, se repitió el ensayo y se ejecutó la evaluación final, sin cambiar nada del plan (DEC-035). Los resultados se ver</w:t>
      </w:r>
      <w:r>
        <w:t>sionaron con sus huellas antes de leerlos (DEC-036).</w:t>
      </w:r>
    </w:p>
    <w:p w14:paraId="5E62B77A" w14:textId="77777777" w:rsidR="000139C7" w:rsidRDefault="002D77B1">
      <w:pPr>
        <w:pStyle w:val="Ttulo2"/>
      </w:pPr>
      <w:bookmarkStart w:id="19" w:name="_Toc242139807"/>
      <w:r>
        <w:lastRenderedPageBreak/>
        <w:t>12.2 Resultados</w:t>
      </w:r>
      <w:bookmarkEnd w:id="19"/>
    </w:p>
    <w:p w14:paraId="0C25A9C0" w14:textId="77777777" w:rsidR="000139C7" w:rsidRDefault="002D77B1">
      <w:pPr>
        <w:keepNext/>
        <w:spacing w:after="160"/>
        <w:jc w:val="both"/>
      </w:pPr>
      <w:r>
        <w:rPr>
          <w:b/>
          <w:bCs/>
        </w:rPr>
        <w:t>H15-1. Rendimiento diario (predicción registrada: ningún modelo supera a la media). Se confirma.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6"/>
        <w:gridCol w:w="2511"/>
        <w:gridCol w:w="3139"/>
        <w:gridCol w:w="2234"/>
      </w:tblGrid>
      <w:tr w:rsidR="000139C7" w14:paraId="7992783E" w14:textId="77777777">
        <w:tblPrEx>
          <w:tblCellMar>
            <w:top w:w="0" w:type="dxa"/>
            <w:bottom w:w="0" w:type="dxa"/>
          </w:tblCellMar>
        </w:tblPrEx>
        <w:trPr>
          <w:tblHeader/>
        </w:trPr>
        <w:tc>
          <w:tcPr>
            <w:tcW w:w="1186"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1BEDE9D8" w14:textId="77777777" w:rsidR="000139C7" w:rsidRDefault="002D77B1">
            <w:pPr>
              <w:spacing w:line="252" w:lineRule="auto"/>
            </w:pPr>
            <w:r>
              <w:rPr>
                <w:b/>
                <w:bCs/>
                <w:sz w:val="18"/>
                <w:szCs w:val="18"/>
              </w:rPr>
              <w:t>Modelo</w:t>
            </w:r>
          </w:p>
        </w:tc>
        <w:tc>
          <w:tcPr>
            <w:tcW w:w="2511"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1130B4B3" w14:textId="77777777" w:rsidR="000139C7" w:rsidRDefault="002D77B1">
            <w:pPr>
              <w:spacing w:line="252" w:lineRule="auto"/>
              <w:jc w:val="center"/>
            </w:pPr>
            <w:r>
              <w:rPr>
                <w:b/>
                <w:bCs/>
                <w:sz w:val="18"/>
                <w:szCs w:val="18"/>
              </w:rPr>
              <w:t>R² fuera de muestra, validación 2024</w:t>
            </w:r>
          </w:p>
        </w:tc>
        <w:tc>
          <w:tcPr>
            <w:tcW w:w="3139"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1490F778" w14:textId="77777777" w:rsidR="000139C7" w:rsidRDefault="002D77B1">
            <w:pPr>
              <w:spacing w:line="252" w:lineRule="auto"/>
              <w:jc w:val="center"/>
            </w:pPr>
            <w:r>
              <w:rPr>
                <w:b/>
                <w:bCs/>
                <w:sz w:val="18"/>
                <w:szCs w:val="18"/>
              </w:rPr>
              <w:t>R² fuera de muestra, prueba 2025–2026 [IC 95 %]</w:t>
            </w:r>
          </w:p>
        </w:tc>
        <w:tc>
          <w:tcPr>
            <w:tcW w:w="2234"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1872722A" w14:textId="77777777" w:rsidR="000139C7" w:rsidRDefault="002D77B1">
            <w:pPr>
              <w:spacing w:line="252" w:lineRule="auto"/>
              <w:jc w:val="center"/>
            </w:pPr>
            <w:r>
              <w:rPr>
                <w:b/>
                <w:bCs/>
                <w:sz w:val="18"/>
                <w:szCs w:val="18"/>
              </w:rPr>
              <w:t>p Diebold-Mariano (Holm), prueba</w:t>
            </w:r>
          </w:p>
        </w:tc>
      </w:tr>
      <w:tr w:rsidR="000139C7" w14:paraId="6C07DD2F" w14:textId="77777777">
        <w:tblPrEx>
          <w:tblCellMar>
            <w:top w:w="0" w:type="dxa"/>
            <w:bottom w:w="0" w:type="dxa"/>
          </w:tblCellMar>
        </w:tblPrEx>
        <w:tc>
          <w:tcPr>
            <w:tcW w:w="11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1BCB34" w14:textId="77777777" w:rsidR="000139C7" w:rsidRDefault="002D77B1">
            <w:pPr>
              <w:spacing w:line="252" w:lineRule="auto"/>
            </w:pPr>
            <w:r>
              <w:rPr>
                <w:sz w:val="18"/>
                <w:szCs w:val="18"/>
              </w:rPr>
              <w:t>LSTM</w:t>
            </w:r>
          </w:p>
        </w:tc>
        <w:tc>
          <w:tcPr>
            <w:tcW w:w="25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4F33ED" w14:textId="77777777" w:rsidR="000139C7" w:rsidRDefault="002D77B1">
            <w:pPr>
              <w:spacing w:line="252" w:lineRule="auto"/>
              <w:jc w:val="center"/>
            </w:pPr>
            <w:r>
              <w:rPr>
                <w:sz w:val="18"/>
                <w:szCs w:val="18"/>
              </w:rPr>
              <w:t>0,07 %</w:t>
            </w:r>
          </w:p>
        </w:tc>
        <w:tc>
          <w:tcPr>
            <w:tcW w:w="31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87E11E" w14:textId="77777777" w:rsidR="000139C7" w:rsidRDefault="002D77B1">
            <w:pPr>
              <w:spacing w:line="252" w:lineRule="auto"/>
              <w:jc w:val="center"/>
            </w:pPr>
            <w:r>
              <w:rPr>
                <w:sz w:val="18"/>
                <w:szCs w:val="18"/>
              </w:rPr>
              <w:t>1,79 % [−0,16 %; 3,86 %]</w:t>
            </w:r>
          </w:p>
        </w:tc>
        <w:tc>
          <w:tcPr>
            <w:tcW w:w="22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D41A76" w14:textId="77777777" w:rsidR="000139C7" w:rsidRDefault="002D77B1">
            <w:pPr>
              <w:spacing w:line="252" w:lineRule="auto"/>
              <w:jc w:val="center"/>
            </w:pPr>
            <w:r>
              <w:rPr>
                <w:sz w:val="18"/>
                <w:szCs w:val="18"/>
              </w:rPr>
              <w:t>0,58</w:t>
            </w:r>
          </w:p>
        </w:tc>
      </w:tr>
      <w:tr w:rsidR="000139C7" w14:paraId="2B7F016F" w14:textId="77777777">
        <w:tblPrEx>
          <w:tblCellMar>
            <w:top w:w="0" w:type="dxa"/>
            <w:bottom w:w="0" w:type="dxa"/>
          </w:tblCellMar>
        </w:tblPrEx>
        <w:tc>
          <w:tcPr>
            <w:tcW w:w="11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BD3662" w14:textId="77777777" w:rsidR="000139C7" w:rsidRDefault="002D77B1">
            <w:pPr>
              <w:spacing w:line="252" w:lineRule="auto"/>
            </w:pPr>
            <w:r>
              <w:rPr>
                <w:sz w:val="18"/>
                <w:szCs w:val="18"/>
              </w:rPr>
              <w:t>Random Forest</w:t>
            </w:r>
          </w:p>
        </w:tc>
        <w:tc>
          <w:tcPr>
            <w:tcW w:w="25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C0D10" w14:textId="77777777" w:rsidR="000139C7" w:rsidRDefault="002D77B1">
            <w:pPr>
              <w:spacing w:line="252" w:lineRule="auto"/>
              <w:jc w:val="center"/>
            </w:pPr>
            <w:r>
              <w:rPr>
                <w:sz w:val="18"/>
                <w:szCs w:val="18"/>
              </w:rPr>
              <w:t>1,02 %</w:t>
            </w:r>
          </w:p>
        </w:tc>
        <w:tc>
          <w:tcPr>
            <w:tcW w:w="31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EE193F" w14:textId="77777777" w:rsidR="000139C7" w:rsidRDefault="002D77B1">
            <w:pPr>
              <w:spacing w:line="252" w:lineRule="auto"/>
              <w:jc w:val="center"/>
            </w:pPr>
            <w:r>
              <w:rPr>
                <w:sz w:val="18"/>
                <w:szCs w:val="18"/>
              </w:rPr>
              <w:t>1,43 % [0,12 %; 2,83 %]</w:t>
            </w:r>
          </w:p>
        </w:tc>
        <w:tc>
          <w:tcPr>
            <w:tcW w:w="22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4B5814" w14:textId="77777777" w:rsidR="000139C7" w:rsidRDefault="002D77B1">
            <w:pPr>
              <w:spacing w:line="252" w:lineRule="auto"/>
              <w:jc w:val="center"/>
            </w:pPr>
            <w:r>
              <w:rPr>
                <w:sz w:val="18"/>
                <w:szCs w:val="18"/>
              </w:rPr>
              <w:t>0,58</w:t>
            </w:r>
          </w:p>
        </w:tc>
      </w:tr>
      <w:tr w:rsidR="000139C7" w14:paraId="2856D187" w14:textId="77777777">
        <w:tblPrEx>
          <w:tblCellMar>
            <w:top w:w="0" w:type="dxa"/>
            <w:bottom w:w="0" w:type="dxa"/>
          </w:tblCellMar>
        </w:tblPrEx>
        <w:tc>
          <w:tcPr>
            <w:tcW w:w="11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66D711" w14:textId="77777777" w:rsidR="000139C7" w:rsidRDefault="002D77B1">
            <w:pPr>
              <w:spacing w:line="252" w:lineRule="auto"/>
            </w:pPr>
            <w:r>
              <w:rPr>
                <w:sz w:val="18"/>
                <w:szCs w:val="18"/>
              </w:rPr>
              <w:t>Gradient Boosting</w:t>
            </w:r>
          </w:p>
        </w:tc>
        <w:tc>
          <w:tcPr>
            <w:tcW w:w="25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55758C" w14:textId="77777777" w:rsidR="000139C7" w:rsidRDefault="002D77B1">
            <w:pPr>
              <w:spacing w:line="252" w:lineRule="auto"/>
              <w:jc w:val="center"/>
            </w:pPr>
            <w:r>
              <w:rPr>
                <w:sz w:val="18"/>
                <w:szCs w:val="18"/>
              </w:rPr>
              <w:t>1,26 %</w:t>
            </w:r>
          </w:p>
        </w:tc>
        <w:tc>
          <w:tcPr>
            <w:tcW w:w="31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8B7BEA" w14:textId="77777777" w:rsidR="000139C7" w:rsidRDefault="002D77B1">
            <w:pPr>
              <w:spacing w:line="252" w:lineRule="auto"/>
              <w:jc w:val="center"/>
            </w:pPr>
            <w:r>
              <w:rPr>
                <w:sz w:val="18"/>
                <w:szCs w:val="18"/>
              </w:rPr>
              <w:t>1,37 % [−0,48 %; 3,43 %]</w:t>
            </w:r>
          </w:p>
        </w:tc>
        <w:tc>
          <w:tcPr>
            <w:tcW w:w="22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1D83D2" w14:textId="77777777" w:rsidR="000139C7" w:rsidRDefault="002D77B1">
            <w:pPr>
              <w:spacing w:line="252" w:lineRule="auto"/>
              <w:jc w:val="center"/>
            </w:pPr>
            <w:r>
              <w:rPr>
                <w:sz w:val="18"/>
                <w:szCs w:val="18"/>
              </w:rPr>
              <w:t>0,70</w:t>
            </w:r>
          </w:p>
        </w:tc>
      </w:tr>
      <w:tr w:rsidR="000139C7" w14:paraId="489FB107" w14:textId="77777777">
        <w:tblPrEx>
          <w:tblCellMar>
            <w:top w:w="0" w:type="dxa"/>
            <w:bottom w:w="0" w:type="dxa"/>
          </w:tblCellMar>
        </w:tblPrEx>
        <w:tc>
          <w:tcPr>
            <w:tcW w:w="11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B0F166" w14:textId="77777777" w:rsidR="000139C7" w:rsidRDefault="002D77B1">
            <w:pPr>
              <w:spacing w:line="252" w:lineRule="auto"/>
            </w:pPr>
            <w:r>
              <w:rPr>
                <w:sz w:val="18"/>
                <w:szCs w:val="18"/>
              </w:rPr>
              <w:t>MLP</w:t>
            </w:r>
          </w:p>
        </w:tc>
        <w:tc>
          <w:tcPr>
            <w:tcW w:w="25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29A93A" w14:textId="77777777" w:rsidR="000139C7" w:rsidRDefault="002D77B1">
            <w:pPr>
              <w:spacing w:line="252" w:lineRule="auto"/>
              <w:jc w:val="center"/>
            </w:pPr>
            <w:r>
              <w:rPr>
                <w:sz w:val="18"/>
                <w:szCs w:val="18"/>
              </w:rPr>
              <w:t>−</w:t>
            </w:r>
            <w:r>
              <w:rPr>
                <w:sz w:val="18"/>
                <w:szCs w:val="18"/>
              </w:rPr>
              <w:t>0,17 %</w:t>
            </w:r>
          </w:p>
        </w:tc>
        <w:tc>
          <w:tcPr>
            <w:tcW w:w="31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4DE160" w14:textId="77777777" w:rsidR="000139C7" w:rsidRDefault="002D77B1">
            <w:pPr>
              <w:spacing w:line="252" w:lineRule="auto"/>
              <w:jc w:val="center"/>
            </w:pPr>
            <w:r>
              <w:rPr>
                <w:sz w:val="18"/>
                <w:szCs w:val="18"/>
              </w:rPr>
              <w:t>0,92 % [0,07 %; 1,83 %]</w:t>
            </w:r>
          </w:p>
        </w:tc>
        <w:tc>
          <w:tcPr>
            <w:tcW w:w="22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CBE868" w14:textId="77777777" w:rsidR="000139C7" w:rsidRDefault="002D77B1">
            <w:pPr>
              <w:spacing w:line="252" w:lineRule="auto"/>
              <w:jc w:val="center"/>
            </w:pPr>
            <w:r>
              <w:rPr>
                <w:sz w:val="18"/>
                <w:szCs w:val="18"/>
              </w:rPr>
              <w:t>0,40</w:t>
            </w:r>
          </w:p>
        </w:tc>
      </w:tr>
      <w:tr w:rsidR="000139C7" w14:paraId="2DFCB770" w14:textId="77777777">
        <w:tblPrEx>
          <w:tblCellMar>
            <w:top w:w="0" w:type="dxa"/>
            <w:bottom w:w="0" w:type="dxa"/>
          </w:tblCellMar>
        </w:tblPrEx>
        <w:tc>
          <w:tcPr>
            <w:tcW w:w="11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572BD1" w14:textId="77777777" w:rsidR="000139C7" w:rsidRDefault="002D77B1">
            <w:pPr>
              <w:spacing w:line="252" w:lineRule="auto"/>
            </w:pPr>
            <w:r>
              <w:rPr>
                <w:sz w:val="18"/>
                <w:szCs w:val="18"/>
              </w:rPr>
              <w:t>Cero</w:t>
            </w:r>
          </w:p>
        </w:tc>
        <w:tc>
          <w:tcPr>
            <w:tcW w:w="25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38B555" w14:textId="77777777" w:rsidR="000139C7" w:rsidRDefault="002D77B1">
            <w:pPr>
              <w:spacing w:line="252" w:lineRule="auto"/>
              <w:jc w:val="center"/>
            </w:pPr>
            <w:r>
              <w:rPr>
                <w:sz w:val="18"/>
                <w:szCs w:val="18"/>
              </w:rPr>
              <w:t>0,31 %</w:t>
            </w:r>
          </w:p>
        </w:tc>
        <w:tc>
          <w:tcPr>
            <w:tcW w:w="31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9177DD" w14:textId="77777777" w:rsidR="000139C7" w:rsidRDefault="002D77B1">
            <w:pPr>
              <w:spacing w:line="252" w:lineRule="auto"/>
              <w:jc w:val="center"/>
            </w:pPr>
            <w:r>
              <w:rPr>
                <w:sz w:val="18"/>
                <w:szCs w:val="18"/>
              </w:rPr>
              <w:t>0,06 %</w:t>
            </w:r>
          </w:p>
        </w:tc>
        <w:tc>
          <w:tcPr>
            <w:tcW w:w="22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B0280A" w14:textId="77777777" w:rsidR="000139C7" w:rsidRDefault="002D77B1">
            <w:pPr>
              <w:spacing w:line="252" w:lineRule="auto"/>
              <w:jc w:val="center"/>
            </w:pPr>
            <w:r>
              <w:rPr>
                <w:sz w:val="18"/>
                <w:szCs w:val="18"/>
              </w:rPr>
              <w:t>0,70</w:t>
            </w:r>
          </w:p>
        </w:tc>
      </w:tr>
      <w:tr w:rsidR="000139C7" w14:paraId="7732EF82" w14:textId="77777777">
        <w:tblPrEx>
          <w:tblCellMar>
            <w:top w:w="0" w:type="dxa"/>
            <w:bottom w:w="0" w:type="dxa"/>
          </w:tblCellMar>
        </w:tblPrEx>
        <w:tc>
          <w:tcPr>
            <w:tcW w:w="11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16192E" w14:textId="77777777" w:rsidR="000139C7" w:rsidRDefault="002D77B1">
            <w:pPr>
              <w:spacing w:line="252" w:lineRule="auto"/>
            </w:pPr>
            <w:r>
              <w:rPr>
                <w:sz w:val="18"/>
                <w:szCs w:val="18"/>
              </w:rPr>
              <w:t>ARIMA</w:t>
            </w:r>
          </w:p>
        </w:tc>
        <w:tc>
          <w:tcPr>
            <w:tcW w:w="25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D0DD38" w14:textId="77777777" w:rsidR="000139C7" w:rsidRDefault="002D77B1">
            <w:pPr>
              <w:spacing w:line="252" w:lineRule="auto"/>
              <w:jc w:val="center"/>
            </w:pPr>
            <w:r>
              <w:rPr>
                <w:sz w:val="18"/>
                <w:szCs w:val="18"/>
              </w:rPr>
              <w:t>−</w:t>
            </w:r>
            <w:r>
              <w:rPr>
                <w:sz w:val="18"/>
                <w:szCs w:val="18"/>
              </w:rPr>
              <w:t>1,12 %</w:t>
            </w:r>
          </w:p>
        </w:tc>
        <w:tc>
          <w:tcPr>
            <w:tcW w:w="31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C36937" w14:textId="77777777" w:rsidR="000139C7" w:rsidRDefault="002D77B1">
            <w:pPr>
              <w:spacing w:line="252" w:lineRule="auto"/>
              <w:jc w:val="center"/>
            </w:pPr>
            <w:r>
              <w:rPr>
                <w:sz w:val="18"/>
                <w:szCs w:val="18"/>
              </w:rPr>
              <w:t>−</w:t>
            </w:r>
            <w:r>
              <w:rPr>
                <w:sz w:val="18"/>
                <w:szCs w:val="18"/>
              </w:rPr>
              <w:t>2,20 %</w:t>
            </w:r>
          </w:p>
        </w:tc>
        <w:tc>
          <w:tcPr>
            <w:tcW w:w="22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A81B7A" w14:textId="77777777" w:rsidR="000139C7" w:rsidRDefault="002D77B1">
            <w:pPr>
              <w:spacing w:line="252" w:lineRule="auto"/>
              <w:jc w:val="center"/>
            </w:pPr>
            <w:r>
              <w:rPr>
                <w:sz w:val="18"/>
                <w:szCs w:val="18"/>
              </w:rPr>
              <w:t>0,70</w:t>
            </w:r>
          </w:p>
        </w:tc>
      </w:tr>
    </w:tbl>
    <w:p w14:paraId="781B4669" w14:textId="77777777" w:rsidR="000139C7" w:rsidRDefault="000139C7">
      <w:pPr>
        <w:spacing w:after="120"/>
      </w:pPr>
    </w:p>
    <w:p w14:paraId="49691178" w14:textId="77777777" w:rsidR="000139C7" w:rsidRDefault="002D77B1">
      <w:pPr>
        <w:spacing w:after="160"/>
        <w:jc w:val="both"/>
      </w:pPr>
      <w:r>
        <w:t>El R² fuera de muestra se mide frente a la media histórica. Ninguna diferencia es significativa tras Holm y los siete modelos, incluida la media, quedan en el Model Confidence Set. Algunos intervalos del R² excluyen el cero por poco, pero la prueba confirmatoria registrada (Diebold-Mariano con Holm) no rechaza en ningún caso; se interpretan como, a lo sumo, evidencia débil de una mejora del orden de 1 % en el error cuadrático.</w:t>
      </w:r>
    </w:p>
    <w:p w14:paraId="5ED01503" w14:textId="77777777" w:rsidR="000139C7" w:rsidRDefault="002D77B1">
      <w:pPr>
        <w:spacing w:after="160"/>
        <w:jc w:val="both"/>
      </w:pPr>
      <w:r>
        <w:t xml:space="preserve">Como análisis </w:t>
      </w:r>
      <w:r>
        <w:rPr>
          <w:b/>
          <w:bCs/>
        </w:rPr>
        <w:t>secundario, no registrado como confirmatorio</w:t>
      </w:r>
      <w:r>
        <w:t>, el acierto direccional de la LSTM (54,8 %), de Random Forest (51,6 %) y de Gradient Boosting (53,7 %) resulta significativo en la prueba de Pesaran-Timmermann tras Holm. Esa prueba supone observaciones independientes, cuando las acciones de un mismo día están correlacionadas, y en validación el efecto no fue significativo. Es un indicio para investigar, no una conclusión.</w:t>
      </w:r>
    </w:p>
    <w:p w14:paraId="6FC30DEC" w14:textId="77777777" w:rsidR="000139C7" w:rsidRDefault="002D77B1">
      <w:pPr>
        <w:spacing w:after="160"/>
        <w:jc w:val="both"/>
      </w:pPr>
      <w:r>
        <w:rPr>
          <w:b/>
          <w:bCs/>
        </w:rPr>
        <w:t>H15-2. Volatilidad diaria (predicción: EWMA en el MCS). Se confirma.</w:t>
      </w:r>
      <w:r>
        <w:t xml:space="preserve"> EWMA tiene la menor pérdida QLIKE (2,189) y queda en el MCS. GARCH también queda (p = 0,84; QLIKE 2,195). La varianza constante queda fuera (p = 0,008).</w:t>
      </w:r>
    </w:p>
    <w:p w14:paraId="28F9FDEA" w14:textId="77777777" w:rsidR="000139C7" w:rsidRDefault="002D77B1">
      <w:pPr>
        <w:spacing w:after="160"/>
        <w:jc w:val="both"/>
      </w:pPr>
      <w:r>
        <w:rPr>
          <w:b/>
          <w:bCs/>
        </w:rPr>
        <w:t>H15-3. Volatilidad semanal (retadores frente a HAR).</w:t>
      </w:r>
    </w:p>
    <w:p w14:paraId="198EB222" w14:textId="77777777" w:rsidR="000139C7" w:rsidRDefault="002D77B1">
      <w:pPr>
        <w:pStyle w:val="Prrafodelista"/>
        <w:numPr>
          <w:ilvl w:val="0"/>
          <w:numId w:val="2"/>
        </w:numPr>
        <w:spacing w:after="80"/>
      </w:pPr>
      <w:r>
        <w:t>En el análisis principal, Random Forest y Gradient Boosting tienen menor QLIKE que HAR, con p = 0,012 tras Holm. El MLP no (p = 0,91).</w:t>
      </w:r>
    </w:p>
    <w:p w14:paraId="125477B4" w14:textId="77777777" w:rsidR="000139C7" w:rsidRDefault="002D77B1">
      <w:pPr>
        <w:pStyle w:val="Prrafodelista"/>
        <w:numPr>
          <w:ilvl w:val="0"/>
          <w:numId w:val="2"/>
        </w:numPr>
        <w:spacing w:after="80"/>
      </w:pPr>
      <w:r>
        <w:rPr>
          <w:b/>
          <w:bCs/>
        </w:rPr>
        <w:t>El resultado no es robusto:</w:t>
      </w:r>
      <w:r>
        <w:t xml:space="preserve"> sin el tratamiento de las fechas sospechosas, las diferencias no son significativas, y en validación tampoco lo fueron (DEC-030).</w:t>
      </w:r>
    </w:p>
    <w:p w14:paraId="4D80F474" w14:textId="77777777" w:rsidR="000139C7" w:rsidRDefault="002D77B1">
      <w:pPr>
        <w:spacing w:after="160"/>
        <w:jc w:val="both"/>
      </w:pPr>
      <w:r>
        <w:t>Se presenta como un hallazgo condicionado al tratamiento de los datos.</w:t>
      </w:r>
    </w:p>
    <w:p w14:paraId="672EEB97" w14:textId="77777777" w:rsidR="000139C7" w:rsidRDefault="002D77B1">
      <w:pPr>
        <w:spacing w:after="160"/>
        <w:jc w:val="both"/>
      </w:pPr>
      <w:r>
        <w:rPr>
          <w:b/>
          <w:bCs/>
        </w:rPr>
        <w:t>H15-4. Riesgo (VaR y ES).</w:t>
      </w:r>
    </w:p>
    <w:p w14:paraId="0E10FDD0" w14:textId="77777777" w:rsidR="000139C7" w:rsidRDefault="002D77B1">
      <w:pPr>
        <w:pStyle w:val="Prrafodelista"/>
        <w:numPr>
          <w:ilvl w:val="0"/>
          <w:numId w:val="2"/>
        </w:numPr>
        <w:spacing w:after="80"/>
      </w:pPr>
      <w:r>
        <w:t>Solo 1 de 80 combinaciones se rechaza tras Holm; ninguna prueba de ES es significativa.</w:t>
      </w:r>
    </w:p>
    <w:p w14:paraId="3CE5D500" w14:textId="77777777" w:rsidR="000139C7" w:rsidRDefault="002D77B1">
      <w:pPr>
        <w:pStyle w:val="Prrafodelista"/>
        <w:numPr>
          <w:ilvl w:val="0"/>
          <w:numId w:val="2"/>
        </w:numPr>
        <w:spacing w:after="80"/>
      </w:pPr>
      <w:r>
        <w:t>Al 99 %, sumando las diez series (41 excesos esperados):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1462"/>
        <w:gridCol w:w="1755"/>
        <w:gridCol w:w="3903"/>
      </w:tblGrid>
      <w:tr w:rsidR="000139C7" w14:paraId="6AE4B513" w14:textId="77777777">
        <w:tblPrEx>
          <w:tblCellMar>
            <w:top w:w="0" w:type="dxa"/>
            <w:bottom w:w="0" w:type="dxa"/>
          </w:tblCellMar>
        </w:tblPrEx>
        <w:trPr>
          <w:tblHeader/>
        </w:trPr>
        <w:tc>
          <w:tcPr>
            <w:tcW w:w="1950"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582942EE" w14:textId="77777777" w:rsidR="000139C7" w:rsidRDefault="002D77B1">
            <w:pPr>
              <w:spacing w:line="252" w:lineRule="auto"/>
            </w:pPr>
            <w:r>
              <w:rPr>
                <w:b/>
                <w:bCs/>
                <w:sz w:val="18"/>
                <w:szCs w:val="18"/>
              </w:rPr>
              <w:t>Método</w:t>
            </w:r>
          </w:p>
        </w:tc>
        <w:tc>
          <w:tcPr>
            <w:tcW w:w="1462"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41F98DCF" w14:textId="77777777" w:rsidR="000139C7" w:rsidRDefault="002D77B1">
            <w:pPr>
              <w:spacing w:line="252" w:lineRule="auto"/>
              <w:jc w:val="center"/>
            </w:pPr>
            <w:r>
              <w:rPr>
                <w:b/>
                <w:bCs/>
                <w:sz w:val="18"/>
                <w:szCs w:val="18"/>
              </w:rPr>
              <w:t>Excesos al 99 %</w:t>
            </w:r>
          </w:p>
        </w:tc>
        <w:tc>
          <w:tcPr>
            <w:tcW w:w="1755"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1DC226E0" w14:textId="77777777" w:rsidR="000139C7" w:rsidRDefault="002D77B1">
            <w:pPr>
              <w:spacing w:line="252" w:lineRule="auto"/>
              <w:jc w:val="center"/>
            </w:pPr>
            <w:r>
              <w:rPr>
                <w:b/>
                <w:bCs/>
                <w:sz w:val="18"/>
                <w:szCs w:val="18"/>
              </w:rPr>
              <w:t>Pérdida media / ES</w:t>
            </w:r>
          </w:p>
        </w:tc>
        <w:tc>
          <w:tcPr>
            <w:tcW w:w="3903"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3C5A2FB3" w14:textId="77777777" w:rsidR="000139C7" w:rsidRDefault="002D77B1">
            <w:pPr>
              <w:spacing w:line="252" w:lineRule="auto"/>
              <w:jc w:val="center"/>
            </w:pPr>
            <w:r>
              <w:rPr>
                <w:b/>
                <w:bCs/>
                <w:sz w:val="18"/>
                <w:szCs w:val="18"/>
              </w:rPr>
              <w:t>Lectura</w:t>
            </w:r>
          </w:p>
        </w:tc>
      </w:tr>
      <w:tr w:rsidR="000139C7" w14:paraId="63FF9B67" w14:textId="77777777">
        <w:tblPrEx>
          <w:tblCellMar>
            <w:top w:w="0" w:type="dxa"/>
            <w:bottom w:w="0" w:type="dxa"/>
          </w:tblCellMar>
        </w:tblPrEx>
        <w:tc>
          <w:tcPr>
            <w:tcW w:w="1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038BF1" w14:textId="77777777" w:rsidR="000139C7" w:rsidRDefault="002D77B1">
            <w:pPr>
              <w:spacing w:line="252" w:lineRule="auto"/>
            </w:pPr>
            <w:r>
              <w:rPr>
                <w:sz w:val="18"/>
                <w:szCs w:val="18"/>
              </w:rPr>
              <w:t>Normal-EWMA</w:t>
            </w:r>
          </w:p>
        </w:tc>
        <w:tc>
          <w:tcPr>
            <w:tcW w:w="14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1C8813" w14:textId="77777777" w:rsidR="000139C7" w:rsidRDefault="002D77B1">
            <w:pPr>
              <w:spacing w:line="252" w:lineRule="auto"/>
              <w:jc w:val="center"/>
            </w:pPr>
            <w:r>
              <w:rPr>
                <w:sz w:val="18"/>
                <w:szCs w:val="18"/>
              </w:rPr>
              <w:t>55</w:t>
            </w:r>
          </w:p>
        </w:tc>
        <w:tc>
          <w:tcPr>
            <w:tcW w:w="17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9D0D7A" w14:textId="77777777" w:rsidR="000139C7" w:rsidRDefault="002D77B1">
            <w:pPr>
              <w:spacing w:line="252" w:lineRule="auto"/>
              <w:jc w:val="center"/>
            </w:pPr>
            <w:r>
              <w:rPr>
                <w:sz w:val="18"/>
                <w:szCs w:val="18"/>
              </w:rPr>
              <w:t>1,34</w:t>
            </w:r>
          </w:p>
        </w:tc>
        <w:tc>
          <w:tcPr>
            <w:tcW w:w="39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1AF396" w14:textId="77777777" w:rsidR="000139C7" w:rsidRDefault="002D77B1">
            <w:pPr>
              <w:spacing w:line="252" w:lineRule="auto"/>
              <w:jc w:val="center"/>
            </w:pPr>
            <w:r>
              <w:rPr>
                <w:sz w:val="18"/>
                <w:szCs w:val="18"/>
              </w:rPr>
              <w:t>Subestima la cola</w:t>
            </w:r>
          </w:p>
        </w:tc>
      </w:tr>
      <w:tr w:rsidR="000139C7" w14:paraId="183D719C" w14:textId="77777777">
        <w:tblPrEx>
          <w:tblCellMar>
            <w:top w:w="0" w:type="dxa"/>
            <w:bottom w:w="0" w:type="dxa"/>
          </w:tblCellMar>
        </w:tblPrEx>
        <w:tc>
          <w:tcPr>
            <w:tcW w:w="1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F9BD6B" w14:textId="77777777" w:rsidR="000139C7" w:rsidRDefault="002D77B1">
            <w:pPr>
              <w:spacing w:line="252" w:lineRule="auto"/>
            </w:pPr>
            <w:r>
              <w:rPr>
                <w:sz w:val="18"/>
                <w:szCs w:val="18"/>
              </w:rPr>
              <w:t>Simulación histórica</w:t>
            </w:r>
          </w:p>
        </w:tc>
        <w:tc>
          <w:tcPr>
            <w:tcW w:w="14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E4AD82" w14:textId="77777777" w:rsidR="000139C7" w:rsidRDefault="002D77B1">
            <w:pPr>
              <w:spacing w:line="252" w:lineRule="auto"/>
              <w:jc w:val="center"/>
            </w:pPr>
            <w:r>
              <w:rPr>
                <w:sz w:val="18"/>
                <w:szCs w:val="18"/>
              </w:rPr>
              <w:t>66</w:t>
            </w:r>
          </w:p>
        </w:tc>
        <w:tc>
          <w:tcPr>
            <w:tcW w:w="17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E0FC78" w14:textId="77777777" w:rsidR="000139C7" w:rsidRDefault="002D77B1">
            <w:pPr>
              <w:spacing w:line="252" w:lineRule="auto"/>
              <w:jc w:val="center"/>
            </w:pPr>
            <w:r>
              <w:rPr>
                <w:sz w:val="18"/>
                <w:szCs w:val="18"/>
              </w:rPr>
              <w:t>1,17</w:t>
            </w:r>
          </w:p>
        </w:tc>
        <w:tc>
          <w:tcPr>
            <w:tcW w:w="39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422976" w14:textId="77777777" w:rsidR="000139C7" w:rsidRDefault="002D77B1">
            <w:pPr>
              <w:spacing w:line="252" w:lineRule="auto"/>
              <w:jc w:val="center"/>
            </w:pPr>
            <w:r>
              <w:rPr>
                <w:sz w:val="18"/>
                <w:szCs w:val="18"/>
              </w:rPr>
              <w:t>Una zona roja y dos amarillas de Basilea</w:t>
            </w:r>
          </w:p>
        </w:tc>
      </w:tr>
      <w:tr w:rsidR="000139C7" w14:paraId="18794EFE" w14:textId="77777777">
        <w:tblPrEx>
          <w:tblCellMar>
            <w:top w:w="0" w:type="dxa"/>
            <w:bottom w:w="0" w:type="dxa"/>
          </w:tblCellMar>
        </w:tblPrEx>
        <w:tc>
          <w:tcPr>
            <w:tcW w:w="1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3C1AB5" w14:textId="77777777" w:rsidR="000139C7" w:rsidRDefault="002D77B1">
            <w:pPr>
              <w:spacing w:line="252" w:lineRule="auto"/>
            </w:pPr>
            <w:r>
              <w:rPr>
                <w:sz w:val="18"/>
                <w:szCs w:val="18"/>
              </w:rPr>
              <w:lastRenderedPageBreak/>
              <w:t>FHS</w:t>
            </w:r>
          </w:p>
        </w:tc>
        <w:tc>
          <w:tcPr>
            <w:tcW w:w="14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D94B9A" w14:textId="77777777" w:rsidR="000139C7" w:rsidRDefault="002D77B1">
            <w:pPr>
              <w:spacing w:line="252" w:lineRule="auto"/>
              <w:jc w:val="center"/>
            </w:pPr>
            <w:r>
              <w:rPr>
                <w:sz w:val="18"/>
                <w:szCs w:val="18"/>
              </w:rPr>
              <w:t>29</w:t>
            </w:r>
          </w:p>
        </w:tc>
        <w:tc>
          <w:tcPr>
            <w:tcW w:w="17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60F1D" w14:textId="77777777" w:rsidR="000139C7" w:rsidRDefault="002D77B1">
            <w:pPr>
              <w:spacing w:line="252" w:lineRule="auto"/>
              <w:jc w:val="center"/>
            </w:pPr>
            <w:r>
              <w:rPr>
                <w:sz w:val="18"/>
                <w:szCs w:val="18"/>
              </w:rPr>
              <w:t>0,98</w:t>
            </w:r>
          </w:p>
        </w:tc>
        <w:tc>
          <w:tcPr>
            <w:tcW w:w="39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EE9FE7" w14:textId="77777777" w:rsidR="000139C7" w:rsidRDefault="002D77B1">
            <w:pPr>
              <w:spacing w:line="252" w:lineRule="auto"/>
              <w:jc w:val="center"/>
            </w:pPr>
            <w:r>
              <w:rPr>
                <w:sz w:val="18"/>
                <w:szCs w:val="18"/>
              </w:rPr>
              <w:t>ES mejor calibrado</w:t>
            </w:r>
          </w:p>
        </w:tc>
      </w:tr>
      <w:tr w:rsidR="000139C7" w14:paraId="22D2C6BF" w14:textId="77777777">
        <w:tblPrEx>
          <w:tblCellMar>
            <w:top w:w="0" w:type="dxa"/>
            <w:bottom w:w="0" w:type="dxa"/>
          </w:tblCellMar>
        </w:tblPrEx>
        <w:tc>
          <w:tcPr>
            <w:tcW w:w="1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D8134F" w14:textId="77777777" w:rsidR="000139C7" w:rsidRDefault="002D77B1">
            <w:pPr>
              <w:spacing w:line="252" w:lineRule="auto"/>
            </w:pPr>
            <w:r>
              <w:rPr>
                <w:sz w:val="18"/>
                <w:szCs w:val="18"/>
              </w:rPr>
              <w:t>GARCH-t</w:t>
            </w:r>
          </w:p>
        </w:tc>
        <w:tc>
          <w:tcPr>
            <w:tcW w:w="14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69778A" w14:textId="77777777" w:rsidR="000139C7" w:rsidRDefault="002D77B1">
            <w:pPr>
              <w:spacing w:line="252" w:lineRule="auto"/>
              <w:jc w:val="center"/>
            </w:pPr>
            <w:r>
              <w:rPr>
                <w:sz w:val="18"/>
                <w:szCs w:val="18"/>
              </w:rPr>
              <w:t>28</w:t>
            </w:r>
          </w:p>
        </w:tc>
        <w:tc>
          <w:tcPr>
            <w:tcW w:w="17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1BF206" w14:textId="77777777" w:rsidR="000139C7" w:rsidRDefault="002D77B1">
            <w:pPr>
              <w:spacing w:line="252" w:lineRule="auto"/>
              <w:jc w:val="center"/>
            </w:pPr>
            <w:r>
              <w:rPr>
                <w:sz w:val="18"/>
                <w:szCs w:val="18"/>
              </w:rPr>
              <w:t>0,83</w:t>
            </w:r>
          </w:p>
        </w:tc>
        <w:tc>
          <w:tcPr>
            <w:tcW w:w="39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20D687" w14:textId="77777777" w:rsidR="000139C7" w:rsidRDefault="002D77B1">
            <w:pPr>
              <w:spacing w:line="252" w:lineRule="auto"/>
              <w:jc w:val="center"/>
            </w:pPr>
            <w:r>
              <w:rPr>
                <w:sz w:val="18"/>
                <w:szCs w:val="18"/>
              </w:rPr>
              <w:t>Conservador</w:t>
            </w:r>
          </w:p>
        </w:tc>
      </w:tr>
    </w:tbl>
    <w:p w14:paraId="0B1F4EBA" w14:textId="77777777" w:rsidR="000139C7" w:rsidRDefault="000139C7">
      <w:pPr>
        <w:spacing w:after="120"/>
      </w:pPr>
    </w:p>
    <w:p w14:paraId="4B1BF808" w14:textId="77777777" w:rsidR="000139C7" w:rsidRDefault="002D77B1">
      <w:pPr>
        <w:keepNext/>
        <w:spacing w:after="160"/>
        <w:jc w:val="both"/>
      </w:pPr>
      <w:r>
        <w:rPr>
          <w:b/>
          <w:bCs/>
        </w:rPr>
        <w:t>H15-5. Portafolios (Sharpe neto frente al 1/N). No se confirma.</w:t>
      </w:r>
      <w:r>
        <w:t xml:space="preserve"> Ninguna estrategia de riesgo supera al 1/N: todas las diferencias son negativas y el p ajustado por Holm es 1,0 en todas.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0"/>
        <w:gridCol w:w="1210"/>
        <w:gridCol w:w="1014"/>
        <w:gridCol w:w="722"/>
        <w:gridCol w:w="2936"/>
        <w:gridCol w:w="1158"/>
      </w:tblGrid>
      <w:tr w:rsidR="000139C7" w14:paraId="36641803" w14:textId="77777777">
        <w:tblPrEx>
          <w:tblCellMar>
            <w:top w:w="0" w:type="dxa"/>
            <w:bottom w:w="0" w:type="dxa"/>
          </w:tblCellMar>
        </w:tblPrEx>
        <w:trPr>
          <w:tblHeader/>
        </w:trPr>
        <w:tc>
          <w:tcPr>
            <w:tcW w:w="2142"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0B07292B" w14:textId="77777777" w:rsidR="000139C7" w:rsidRDefault="002D77B1">
            <w:pPr>
              <w:spacing w:line="252" w:lineRule="auto"/>
            </w:pPr>
            <w:r>
              <w:rPr>
                <w:b/>
                <w:bCs/>
                <w:sz w:val="18"/>
                <w:szCs w:val="18"/>
              </w:rPr>
              <w:t>Estrategia (9 empresas, 20 pb)</w:t>
            </w:r>
          </w:p>
        </w:tc>
        <w:tc>
          <w:tcPr>
            <w:tcW w:w="1214"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2CC31D6E" w14:textId="77777777" w:rsidR="000139C7" w:rsidRDefault="002D77B1">
            <w:pPr>
              <w:spacing w:line="252" w:lineRule="auto"/>
              <w:jc w:val="center"/>
            </w:pPr>
            <w:r>
              <w:rPr>
                <w:b/>
                <w:bCs/>
                <w:sz w:val="18"/>
                <w:szCs w:val="18"/>
              </w:rPr>
              <w:t>Rendimiento anual</w:t>
            </w:r>
          </w:p>
        </w:tc>
        <w:tc>
          <w:tcPr>
            <w:tcW w:w="785"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544CD163" w14:textId="77777777" w:rsidR="000139C7" w:rsidRDefault="002D77B1">
            <w:pPr>
              <w:spacing w:line="252" w:lineRule="auto"/>
              <w:jc w:val="center"/>
            </w:pPr>
            <w:r>
              <w:rPr>
                <w:b/>
                <w:bCs/>
                <w:sz w:val="18"/>
                <w:szCs w:val="18"/>
              </w:rPr>
              <w:t>Volatilidad</w:t>
            </w:r>
          </w:p>
        </w:tc>
        <w:tc>
          <w:tcPr>
            <w:tcW w:w="571"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2209A74C" w14:textId="77777777" w:rsidR="000139C7" w:rsidRDefault="002D77B1">
            <w:pPr>
              <w:spacing w:line="252" w:lineRule="auto"/>
              <w:jc w:val="center"/>
            </w:pPr>
            <w:r>
              <w:rPr>
                <w:b/>
                <w:bCs/>
                <w:sz w:val="18"/>
                <w:szCs w:val="18"/>
              </w:rPr>
              <w:t>Sharpe</w:t>
            </w:r>
          </w:p>
        </w:tc>
        <w:tc>
          <w:tcPr>
            <w:tcW w:w="3142"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6763CA66" w14:textId="77777777" w:rsidR="000139C7" w:rsidRDefault="002D77B1">
            <w:pPr>
              <w:spacing w:line="252" w:lineRule="auto"/>
              <w:jc w:val="center"/>
            </w:pPr>
            <w:r>
              <w:rPr>
                <w:b/>
                <w:bCs/>
                <w:sz w:val="18"/>
                <w:szCs w:val="18"/>
              </w:rPr>
              <w:t>Diferencia de Sharpe frente al 1/N [IC 95 %]</w:t>
            </w:r>
          </w:p>
        </w:tc>
        <w:tc>
          <w:tcPr>
            <w:tcW w:w="1216"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7A58A94E" w14:textId="77777777" w:rsidR="000139C7" w:rsidRDefault="002D77B1">
            <w:pPr>
              <w:spacing w:line="252" w:lineRule="auto"/>
              <w:jc w:val="center"/>
            </w:pPr>
            <w:r>
              <w:rPr>
                <w:b/>
                <w:bCs/>
                <w:sz w:val="18"/>
                <w:szCs w:val="18"/>
              </w:rPr>
              <w:t>Valor final de $1</w:t>
            </w:r>
          </w:p>
        </w:tc>
      </w:tr>
      <w:tr w:rsidR="000139C7" w14:paraId="3ED0D230" w14:textId="77777777">
        <w:tblPrEx>
          <w:tblCellMar>
            <w:top w:w="0" w:type="dxa"/>
            <w:bottom w:w="0" w:type="dxa"/>
          </w:tblCellMar>
        </w:tblPrEx>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F9FC8A" w14:textId="77777777" w:rsidR="000139C7" w:rsidRDefault="002D77B1">
            <w:pPr>
              <w:spacing w:line="252" w:lineRule="auto"/>
            </w:pPr>
            <w:r>
              <w:rPr>
                <w:sz w:val="18"/>
                <w:szCs w:val="18"/>
              </w:rPr>
              <w:t>1/N</w:t>
            </w:r>
          </w:p>
        </w:tc>
        <w:tc>
          <w:tcPr>
            <w:tcW w:w="1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59FE9D" w14:textId="77777777" w:rsidR="000139C7" w:rsidRDefault="002D77B1">
            <w:pPr>
              <w:spacing w:line="252" w:lineRule="auto"/>
              <w:jc w:val="center"/>
            </w:pPr>
            <w:r>
              <w:rPr>
                <w:sz w:val="18"/>
                <w:szCs w:val="18"/>
              </w:rPr>
              <w:t>49,1 %</w:t>
            </w:r>
          </w:p>
        </w:tc>
        <w:tc>
          <w:tcPr>
            <w:tcW w:w="7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89CDFD" w14:textId="77777777" w:rsidR="000139C7" w:rsidRDefault="002D77B1">
            <w:pPr>
              <w:spacing w:line="252" w:lineRule="auto"/>
              <w:jc w:val="center"/>
            </w:pPr>
            <w:r>
              <w:rPr>
                <w:sz w:val="18"/>
                <w:szCs w:val="18"/>
              </w:rPr>
              <w:t>16,0 %</w:t>
            </w:r>
          </w:p>
        </w:tc>
        <w:tc>
          <w:tcPr>
            <w:tcW w:w="5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B02D8B" w14:textId="77777777" w:rsidR="000139C7" w:rsidRDefault="002D77B1">
            <w:pPr>
              <w:spacing w:line="252" w:lineRule="auto"/>
              <w:jc w:val="center"/>
            </w:pPr>
            <w:r>
              <w:rPr>
                <w:sz w:val="18"/>
                <w:szCs w:val="18"/>
              </w:rPr>
              <w:t>1,98</w:t>
            </w:r>
          </w:p>
        </w:tc>
        <w:tc>
          <w:tcPr>
            <w:tcW w:w="3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CFDDAD" w14:textId="77777777" w:rsidR="000139C7" w:rsidRDefault="002D77B1">
            <w:pPr>
              <w:spacing w:line="252" w:lineRule="auto"/>
              <w:jc w:val="center"/>
            </w:pPr>
            <w:r>
              <w:rPr>
                <w:sz w:val="18"/>
                <w:szCs w:val="18"/>
              </w:rPr>
              <w:t>—</w:t>
            </w:r>
          </w:p>
        </w:tc>
        <w:tc>
          <w:tcPr>
            <w:tcW w:w="12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7807D1" w14:textId="77777777" w:rsidR="000139C7" w:rsidRDefault="002D77B1">
            <w:pPr>
              <w:spacing w:line="252" w:lineRule="auto"/>
              <w:jc w:val="center"/>
            </w:pPr>
            <w:r>
              <w:rPr>
                <w:sz w:val="18"/>
                <w:szCs w:val="18"/>
              </w:rPr>
              <w:t>1,97</w:t>
            </w:r>
          </w:p>
        </w:tc>
      </w:tr>
      <w:tr w:rsidR="000139C7" w14:paraId="06829895" w14:textId="77777777">
        <w:tblPrEx>
          <w:tblCellMar>
            <w:top w:w="0" w:type="dxa"/>
            <w:bottom w:w="0" w:type="dxa"/>
          </w:tblCellMar>
        </w:tblPrEx>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1C5F8A" w14:textId="77777777" w:rsidR="000139C7" w:rsidRDefault="002D77B1">
            <w:pPr>
              <w:spacing w:line="252" w:lineRule="auto"/>
            </w:pPr>
            <w:r>
              <w:rPr>
                <w:sz w:val="18"/>
                <w:szCs w:val="18"/>
              </w:rPr>
              <w:t>Paridad de riesgo</w:t>
            </w:r>
          </w:p>
        </w:tc>
        <w:tc>
          <w:tcPr>
            <w:tcW w:w="1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8A24C0" w14:textId="77777777" w:rsidR="000139C7" w:rsidRDefault="002D77B1">
            <w:pPr>
              <w:spacing w:line="252" w:lineRule="auto"/>
              <w:jc w:val="center"/>
            </w:pPr>
            <w:r>
              <w:rPr>
                <w:sz w:val="18"/>
                <w:szCs w:val="18"/>
              </w:rPr>
              <w:t>43,8 %</w:t>
            </w:r>
          </w:p>
        </w:tc>
        <w:tc>
          <w:tcPr>
            <w:tcW w:w="7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B097B8" w14:textId="77777777" w:rsidR="000139C7" w:rsidRDefault="002D77B1">
            <w:pPr>
              <w:spacing w:line="252" w:lineRule="auto"/>
              <w:jc w:val="center"/>
            </w:pPr>
            <w:r>
              <w:rPr>
                <w:sz w:val="18"/>
                <w:szCs w:val="18"/>
              </w:rPr>
              <w:t>15,4 %</w:t>
            </w:r>
          </w:p>
        </w:tc>
        <w:tc>
          <w:tcPr>
            <w:tcW w:w="5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B929A2" w14:textId="77777777" w:rsidR="000139C7" w:rsidRDefault="002D77B1">
            <w:pPr>
              <w:spacing w:line="252" w:lineRule="auto"/>
              <w:jc w:val="center"/>
            </w:pPr>
            <w:r>
              <w:rPr>
                <w:sz w:val="18"/>
                <w:szCs w:val="18"/>
              </w:rPr>
              <w:t>1,82</w:t>
            </w:r>
          </w:p>
        </w:tc>
        <w:tc>
          <w:tcPr>
            <w:tcW w:w="3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7F2A1B" w14:textId="77777777" w:rsidR="000139C7" w:rsidRDefault="002D77B1">
            <w:pPr>
              <w:spacing w:line="252" w:lineRule="auto"/>
              <w:jc w:val="center"/>
            </w:pPr>
            <w:r>
              <w:rPr>
                <w:sz w:val="18"/>
                <w:szCs w:val="18"/>
              </w:rPr>
              <w:t>−</w:t>
            </w:r>
            <w:r>
              <w:rPr>
                <w:sz w:val="18"/>
                <w:szCs w:val="18"/>
              </w:rPr>
              <w:t>0,16 [−0,40; 0,10]</w:t>
            </w:r>
          </w:p>
        </w:tc>
        <w:tc>
          <w:tcPr>
            <w:tcW w:w="12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7F2A33" w14:textId="77777777" w:rsidR="000139C7" w:rsidRDefault="002D77B1">
            <w:pPr>
              <w:spacing w:line="252" w:lineRule="auto"/>
              <w:jc w:val="center"/>
            </w:pPr>
            <w:r>
              <w:rPr>
                <w:sz w:val="18"/>
                <w:szCs w:val="18"/>
              </w:rPr>
              <w:t>1,85</w:t>
            </w:r>
          </w:p>
        </w:tc>
      </w:tr>
      <w:tr w:rsidR="000139C7" w14:paraId="4E632614" w14:textId="77777777">
        <w:tblPrEx>
          <w:tblCellMar>
            <w:top w:w="0" w:type="dxa"/>
            <w:bottom w:w="0" w:type="dxa"/>
          </w:tblCellMar>
        </w:tblPrEx>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244C7E" w14:textId="77777777" w:rsidR="000139C7" w:rsidRDefault="002D77B1">
            <w:pPr>
              <w:spacing w:line="252" w:lineRule="auto"/>
            </w:pPr>
            <w:r>
              <w:rPr>
                <w:sz w:val="18"/>
                <w:szCs w:val="18"/>
              </w:rPr>
              <w:t>Mínima varianza Ledoit-Wolf</w:t>
            </w:r>
          </w:p>
        </w:tc>
        <w:tc>
          <w:tcPr>
            <w:tcW w:w="1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97643C" w14:textId="77777777" w:rsidR="000139C7" w:rsidRDefault="002D77B1">
            <w:pPr>
              <w:spacing w:line="252" w:lineRule="auto"/>
              <w:jc w:val="center"/>
            </w:pPr>
            <w:r>
              <w:rPr>
                <w:sz w:val="18"/>
                <w:szCs w:val="18"/>
              </w:rPr>
              <w:t>38,6 %</w:t>
            </w:r>
          </w:p>
        </w:tc>
        <w:tc>
          <w:tcPr>
            <w:tcW w:w="7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ED1FF3" w14:textId="77777777" w:rsidR="000139C7" w:rsidRDefault="002D77B1">
            <w:pPr>
              <w:spacing w:line="252" w:lineRule="auto"/>
              <w:jc w:val="center"/>
            </w:pPr>
            <w:r>
              <w:rPr>
                <w:sz w:val="18"/>
                <w:szCs w:val="18"/>
              </w:rPr>
              <w:t>15,3 %</w:t>
            </w:r>
          </w:p>
        </w:tc>
        <w:tc>
          <w:tcPr>
            <w:tcW w:w="5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EF720F" w14:textId="77777777" w:rsidR="000139C7" w:rsidRDefault="002D77B1">
            <w:pPr>
              <w:spacing w:line="252" w:lineRule="auto"/>
              <w:jc w:val="center"/>
            </w:pPr>
            <w:r>
              <w:rPr>
                <w:sz w:val="18"/>
                <w:szCs w:val="18"/>
              </w:rPr>
              <w:t>1,59</w:t>
            </w:r>
          </w:p>
        </w:tc>
        <w:tc>
          <w:tcPr>
            <w:tcW w:w="3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F79FE9" w14:textId="77777777" w:rsidR="000139C7" w:rsidRDefault="002D77B1">
            <w:pPr>
              <w:spacing w:line="252" w:lineRule="auto"/>
              <w:jc w:val="center"/>
            </w:pPr>
            <w:r>
              <w:rPr>
                <w:sz w:val="18"/>
                <w:szCs w:val="18"/>
              </w:rPr>
              <w:t>−</w:t>
            </w:r>
            <w:r>
              <w:rPr>
                <w:sz w:val="18"/>
                <w:szCs w:val="18"/>
              </w:rPr>
              <w:t>0,39 [−0,91; 0,16]</w:t>
            </w:r>
          </w:p>
        </w:tc>
        <w:tc>
          <w:tcPr>
            <w:tcW w:w="12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BE8E3A" w14:textId="77777777" w:rsidR="000139C7" w:rsidRDefault="002D77B1">
            <w:pPr>
              <w:spacing w:line="252" w:lineRule="auto"/>
              <w:jc w:val="center"/>
            </w:pPr>
            <w:r>
              <w:rPr>
                <w:sz w:val="18"/>
                <w:szCs w:val="18"/>
              </w:rPr>
              <w:t>1,74</w:t>
            </w:r>
          </w:p>
        </w:tc>
      </w:tr>
      <w:tr w:rsidR="000139C7" w14:paraId="5FF36336" w14:textId="77777777">
        <w:tblPrEx>
          <w:tblCellMar>
            <w:top w:w="0" w:type="dxa"/>
            <w:bottom w:w="0" w:type="dxa"/>
          </w:tblCellMar>
        </w:tblPrEx>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B8B364" w14:textId="77777777" w:rsidR="000139C7" w:rsidRDefault="002D77B1">
            <w:pPr>
              <w:spacing w:line="252" w:lineRule="auto"/>
            </w:pPr>
            <w:r>
              <w:rPr>
                <w:sz w:val="18"/>
                <w:szCs w:val="18"/>
              </w:rPr>
              <w:t>Mínimo CVaR</w:t>
            </w:r>
          </w:p>
        </w:tc>
        <w:tc>
          <w:tcPr>
            <w:tcW w:w="1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C6F345" w14:textId="77777777" w:rsidR="000139C7" w:rsidRDefault="002D77B1">
            <w:pPr>
              <w:spacing w:line="252" w:lineRule="auto"/>
              <w:jc w:val="center"/>
            </w:pPr>
            <w:r>
              <w:rPr>
                <w:sz w:val="18"/>
                <w:szCs w:val="18"/>
              </w:rPr>
              <w:t>41,2 %</w:t>
            </w:r>
          </w:p>
        </w:tc>
        <w:tc>
          <w:tcPr>
            <w:tcW w:w="7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6F8624" w14:textId="77777777" w:rsidR="000139C7" w:rsidRDefault="002D77B1">
            <w:pPr>
              <w:spacing w:line="252" w:lineRule="auto"/>
              <w:jc w:val="center"/>
            </w:pPr>
            <w:r>
              <w:rPr>
                <w:sz w:val="18"/>
                <w:szCs w:val="18"/>
              </w:rPr>
              <w:t>17,2 %</w:t>
            </w:r>
          </w:p>
        </w:tc>
        <w:tc>
          <w:tcPr>
            <w:tcW w:w="5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79F862" w14:textId="77777777" w:rsidR="000139C7" w:rsidRDefault="002D77B1">
            <w:pPr>
              <w:spacing w:line="252" w:lineRule="auto"/>
              <w:jc w:val="center"/>
            </w:pPr>
            <w:r>
              <w:rPr>
                <w:sz w:val="18"/>
                <w:szCs w:val="18"/>
              </w:rPr>
              <w:t>1,54</w:t>
            </w:r>
          </w:p>
        </w:tc>
        <w:tc>
          <w:tcPr>
            <w:tcW w:w="3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3A9142" w14:textId="77777777" w:rsidR="000139C7" w:rsidRDefault="002D77B1">
            <w:pPr>
              <w:spacing w:line="252" w:lineRule="auto"/>
              <w:jc w:val="center"/>
            </w:pPr>
            <w:r>
              <w:rPr>
                <w:sz w:val="18"/>
                <w:szCs w:val="18"/>
              </w:rPr>
              <w:t>−</w:t>
            </w:r>
            <w:r>
              <w:rPr>
                <w:sz w:val="18"/>
                <w:szCs w:val="18"/>
              </w:rPr>
              <w:t>0,44 [−1,09; 0,21]</w:t>
            </w:r>
          </w:p>
        </w:tc>
        <w:tc>
          <w:tcPr>
            <w:tcW w:w="12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E359A8" w14:textId="77777777" w:rsidR="000139C7" w:rsidRDefault="002D77B1">
            <w:pPr>
              <w:spacing w:line="252" w:lineRule="auto"/>
              <w:jc w:val="center"/>
            </w:pPr>
            <w:r>
              <w:rPr>
                <w:sz w:val="18"/>
                <w:szCs w:val="18"/>
              </w:rPr>
              <w:t>1,79</w:t>
            </w:r>
          </w:p>
        </w:tc>
      </w:tr>
      <w:tr w:rsidR="000139C7" w14:paraId="3B595A92" w14:textId="77777777">
        <w:tblPrEx>
          <w:tblCellMar>
            <w:top w:w="0" w:type="dxa"/>
            <w:bottom w:w="0" w:type="dxa"/>
          </w:tblCellMar>
        </w:tblPrEx>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31FF03" w14:textId="77777777" w:rsidR="000139C7" w:rsidRDefault="002D77B1">
            <w:pPr>
              <w:spacing w:line="252" w:lineRule="auto"/>
            </w:pPr>
            <w:r>
              <w:rPr>
                <w:sz w:val="18"/>
                <w:szCs w:val="18"/>
              </w:rPr>
              <w:t>Mínima varianza muestral</w:t>
            </w:r>
          </w:p>
        </w:tc>
        <w:tc>
          <w:tcPr>
            <w:tcW w:w="1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10DB3F" w14:textId="77777777" w:rsidR="000139C7" w:rsidRDefault="002D77B1">
            <w:pPr>
              <w:spacing w:line="252" w:lineRule="auto"/>
              <w:jc w:val="center"/>
            </w:pPr>
            <w:r>
              <w:rPr>
                <w:sz w:val="18"/>
                <w:szCs w:val="18"/>
              </w:rPr>
              <w:t>36,2 %</w:t>
            </w:r>
          </w:p>
        </w:tc>
        <w:tc>
          <w:tcPr>
            <w:tcW w:w="7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B7F2D4" w14:textId="77777777" w:rsidR="000139C7" w:rsidRDefault="002D77B1">
            <w:pPr>
              <w:spacing w:line="252" w:lineRule="auto"/>
              <w:jc w:val="center"/>
            </w:pPr>
            <w:r>
              <w:rPr>
                <w:sz w:val="18"/>
                <w:szCs w:val="18"/>
              </w:rPr>
              <w:t>15,5 %</w:t>
            </w:r>
          </w:p>
        </w:tc>
        <w:tc>
          <w:tcPr>
            <w:tcW w:w="5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EB7B11" w14:textId="77777777" w:rsidR="000139C7" w:rsidRDefault="002D77B1">
            <w:pPr>
              <w:spacing w:line="252" w:lineRule="auto"/>
              <w:jc w:val="center"/>
            </w:pPr>
            <w:r>
              <w:rPr>
                <w:sz w:val="18"/>
                <w:szCs w:val="18"/>
              </w:rPr>
              <w:t>1,46</w:t>
            </w:r>
          </w:p>
        </w:tc>
        <w:tc>
          <w:tcPr>
            <w:tcW w:w="3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DD2307" w14:textId="77777777" w:rsidR="000139C7" w:rsidRDefault="002D77B1">
            <w:pPr>
              <w:spacing w:line="252" w:lineRule="auto"/>
              <w:jc w:val="center"/>
            </w:pPr>
            <w:r>
              <w:rPr>
                <w:sz w:val="18"/>
                <w:szCs w:val="18"/>
              </w:rPr>
              <w:t>−</w:t>
            </w:r>
            <w:r>
              <w:rPr>
                <w:sz w:val="18"/>
                <w:szCs w:val="18"/>
              </w:rPr>
              <w:t>0,53 [−1,27; 0,27]</w:t>
            </w:r>
          </w:p>
        </w:tc>
        <w:tc>
          <w:tcPr>
            <w:tcW w:w="12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9593F1" w14:textId="77777777" w:rsidR="000139C7" w:rsidRDefault="002D77B1">
            <w:pPr>
              <w:spacing w:line="252" w:lineRule="auto"/>
              <w:jc w:val="center"/>
            </w:pPr>
            <w:r>
              <w:rPr>
                <w:sz w:val="18"/>
                <w:szCs w:val="18"/>
              </w:rPr>
              <w:t>1,69</w:t>
            </w:r>
          </w:p>
        </w:tc>
      </w:tr>
      <w:tr w:rsidR="000139C7" w14:paraId="1B880345" w14:textId="77777777">
        <w:tblPrEx>
          <w:tblCellMar>
            <w:top w:w="0" w:type="dxa"/>
            <w:bottom w:w="0" w:type="dxa"/>
          </w:tblCellMar>
        </w:tblPrEx>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F45A98" w14:textId="77777777" w:rsidR="000139C7" w:rsidRDefault="002D77B1">
            <w:pPr>
              <w:spacing w:line="252" w:lineRule="auto"/>
            </w:pPr>
            <w:r>
              <w:rPr>
                <w:sz w:val="18"/>
                <w:szCs w:val="18"/>
              </w:rPr>
              <w:t>IBR overnight</w:t>
            </w:r>
          </w:p>
        </w:tc>
        <w:tc>
          <w:tcPr>
            <w:tcW w:w="1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4464F7" w14:textId="77777777" w:rsidR="000139C7" w:rsidRDefault="002D77B1">
            <w:pPr>
              <w:spacing w:line="252" w:lineRule="auto"/>
              <w:jc w:val="center"/>
            </w:pPr>
            <w:r>
              <w:rPr>
                <w:sz w:val="18"/>
                <w:szCs w:val="18"/>
              </w:rPr>
              <w:t>10,0 %</w:t>
            </w:r>
          </w:p>
        </w:tc>
        <w:tc>
          <w:tcPr>
            <w:tcW w:w="7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E2395D" w14:textId="77777777" w:rsidR="000139C7" w:rsidRDefault="002D77B1">
            <w:pPr>
              <w:spacing w:line="252" w:lineRule="auto"/>
              <w:jc w:val="center"/>
            </w:pPr>
            <w:r>
              <w:rPr>
                <w:sz w:val="18"/>
                <w:szCs w:val="18"/>
              </w:rPr>
              <w:t>—</w:t>
            </w:r>
          </w:p>
        </w:tc>
        <w:tc>
          <w:tcPr>
            <w:tcW w:w="5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BF7244" w14:textId="77777777" w:rsidR="000139C7" w:rsidRDefault="002D77B1">
            <w:pPr>
              <w:spacing w:line="252" w:lineRule="auto"/>
              <w:jc w:val="center"/>
            </w:pPr>
            <w:r>
              <w:rPr>
                <w:sz w:val="18"/>
                <w:szCs w:val="18"/>
              </w:rPr>
              <w:t>—</w:t>
            </w:r>
          </w:p>
        </w:tc>
        <w:tc>
          <w:tcPr>
            <w:tcW w:w="3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8F4722" w14:textId="77777777" w:rsidR="000139C7" w:rsidRDefault="002D77B1">
            <w:pPr>
              <w:spacing w:line="252" w:lineRule="auto"/>
              <w:jc w:val="center"/>
            </w:pPr>
            <w:r>
              <w:rPr>
                <w:sz w:val="18"/>
                <w:szCs w:val="18"/>
              </w:rPr>
              <w:t>—</w:t>
            </w:r>
          </w:p>
        </w:tc>
        <w:tc>
          <w:tcPr>
            <w:tcW w:w="12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A8D88A" w14:textId="77777777" w:rsidR="000139C7" w:rsidRDefault="002D77B1">
            <w:pPr>
              <w:spacing w:line="252" w:lineRule="auto"/>
              <w:jc w:val="center"/>
            </w:pPr>
            <w:r>
              <w:rPr>
                <w:sz w:val="18"/>
                <w:szCs w:val="18"/>
              </w:rPr>
              <w:t>1,18</w:t>
            </w:r>
          </w:p>
        </w:tc>
      </w:tr>
    </w:tbl>
    <w:p w14:paraId="4BF23F70" w14:textId="77777777" w:rsidR="000139C7" w:rsidRDefault="000139C7">
      <w:pPr>
        <w:spacing w:after="120"/>
      </w:pPr>
    </w:p>
    <w:p w14:paraId="27788F92" w14:textId="77777777" w:rsidR="000139C7" w:rsidRDefault="002D77B1">
      <w:pPr>
        <w:spacing w:after="160"/>
        <w:jc w:val="both"/>
      </w:pPr>
      <w:r>
        <w:t>A diferencia de 2021–2024, en el periodo de prueba la renta variable colombiana superó ampliamente a la tasa libre de riesgo. En el universo de las cuatro líquidas, el 1/N y la paridad de riesgo obtuvieron Sharpe de 1,02 y las demás estrategias entre 0,92 y 0,98. Las conclusiones no cambian sin costos, con 50 pb, con rebalanceo trimestral ni sin el tratamiento de las fechas sospechosas.</w:t>
      </w:r>
    </w:p>
    <w:p w14:paraId="57288C62" w14:textId="77777777" w:rsidR="000139C7" w:rsidRDefault="002D77B1">
      <w:pPr>
        <w:keepNext/>
        <w:spacing w:before="200" w:after="60"/>
        <w:jc w:val="center"/>
      </w:pPr>
      <w:r>
        <w:rPr>
          <w:noProof/>
        </w:rPr>
        <w:drawing>
          <wp:inline distT="0" distB="0" distL="0" distR="0" wp14:anchorId="4DF3EB3F" wp14:editId="2194B950">
            <wp:extent cx="5715000" cy="19050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905000"/>
                    </a:xfrm>
                    <a:prstGeom prst="rect">
                      <a:avLst/>
                    </a:prstGeom>
                  </pic:spPr>
                </pic:pic>
              </a:graphicData>
            </a:graphic>
          </wp:inline>
        </w:drawing>
      </w:r>
    </w:p>
    <w:p w14:paraId="499E7C38" w14:textId="77777777" w:rsidR="000139C7" w:rsidRDefault="002D77B1">
      <w:pPr>
        <w:spacing w:after="240"/>
        <w:jc w:val="center"/>
      </w:pPr>
      <w:r>
        <w:rPr>
          <w:b/>
          <w:bCs/>
          <w:sz w:val="19"/>
          <w:szCs w:val="19"/>
        </w:rPr>
        <w:t xml:space="preserve">Figura 9. </w:t>
      </w:r>
      <w:r>
        <w:rPr>
          <w:i/>
          <w:iCs/>
          <w:sz w:val="19"/>
          <w:szCs w:val="19"/>
        </w:rPr>
        <w:t>Riqueza acumulada de las estrategias en el bloque de prueba (2025–2026).</w:t>
      </w:r>
    </w:p>
    <w:p w14:paraId="60104A68" w14:textId="77777777" w:rsidR="000139C7" w:rsidRDefault="002D77B1">
      <w:pPr>
        <w:pStyle w:val="Ttulo1"/>
      </w:pPr>
      <w:bookmarkStart w:id="20" w:name="_Toc242139808"/>
      <w:r>
        <w:t>13. Agente de IA</w:t>
      </w:r>
      <w:bookmarkEnd w:id="20"/>
    </w:p>
    <w:p w14:paraId="6C035E5B" w14:textId="77777777" w:rsidR="000139C7" w:rsidRDefault="002D77B1">
      <w:pPr>
        <w:pStyle w:val="Ttulo2"/>
      </w:pPr>
      <w:bookmarkStart w:id="21" w:name="_Toc242139809"/>
      <w:r>
        <w:t>13.1 Diseño</w:t>
      </w:r>
      <w:bookmarkEnd w:id="21"/>
    </w:p>
    <w:p w14:paraId="5847BC72" w14:textId="77777777" w:rsidR="000139C7" w:rsidRDefault="002D77B1">
      <w:pPr>
        <w:spacing w:after="160"/>
        <w:jc w:val="both"/>
      </w:pPr>
      <w:r>
        <w:t xml:space="preserve">Se construyó un </w:t>
      </w:r>
      <w:r>
        <w:rPr>
          <w:b/>
          <w:bCs/>
        </w:rPr>
        <w:t>agente de IA de investigación</w:t>
      </w:r>
      <w:r>
        <w:t xml:space="preserve"> sobre Claude Code (DEC-041, DEC-043). Ayuda al equipo a consultar, verificar y explicar el trabajo, sin reemplazar el criterio metodológico. El agente trabaja con nueve herramientas con contrato estricto:</w:t>
      </w:r>
    </w:p>
    <w:p w14:paraId="53155720" w14:textId="77777777" w:rsidR="000139C7" w:rsidRDefault="002D77B1">
      <w:pPr>
        <w:pStyle w:val="Prrafodelista"/>
        <w:numPr>
          <w:ilvl w:val="0"/>
          <w:numId w:val="2"/>
        </w:numPr>
        <w:spacing w:after="80"/>
      </w:pPr>
      <w:r>
        <w:t>leer las decisiones del diario;</w:t>
      </w:r>
    </w:p>
    <w:p w14:paraId="74BC4E2C" w14:textId="77777777" w:rsidR="000139C7" w:rsidRDefault="002D77B1">
      <w:pPr>
        <w:pStyle w:val="Prrafodelista"/>
        <w:numPr>
          <w:ilvl w:val="0"/>
          <w:numId w:val="2"/>
        </w:numPr>
        <w:spacing w:after="80"/>
      </w:pPr>
      <w:r>
        <w:t>leer los resultados;</w:t>
      </w:r>
    </w:p>
    <w:p w14:paraId="770FEF3C" w14:textId="77777777" w:rsidR="000139C7" w:rsidRDefault="002D77B1">
      <w:pPr>
        <w:pStyle w:val="Prrafodelista"/>
        <w:numPr>
          <w:ilvl w:val="0"/>
          <w:numId w:val="2"/>
        </w:numPr>
        <w:spacing w:after="80"/>
      </w:pPr>
      <w:r>
        <w:lastRenderedPageBreak/>
        <w:t>correr pruebas de estacionariedad y efectos ARCH, solo con entrenamiento o validación;</w:t>
      </w:r>
    </w:p>
    <w:p w14:paraId="3959B760" w14:textId="77777777" w:rsidR="000139C7" w:rsidRDefault="002D77B1">
      <w:pPr>
        <w:pStyle w:val="Prrafodelista"/>
        <w:numPr>
          <w:ilvl w:val="0"/>
          <w:numId w:val="2"/>
        </w:numPr>
        <w:spacing w:after="80"/>
      </w:pPr>
      <w:r>
        <w:t>seleccionar modelos ARIMA, solo con entrenamiento;</w:t>
      </w:r>
    </w:p>
    <w:p w14:paraId="41DCAAFA" w14:textId="77777777" w:rsidR="000139C7" w:rsidRDefault="002D77B1">
      <w:pPr>
        <w:pStyle w:val="Prrafodelista"/>
        <w:numPr>
          <w:ilvl w:val="0"/>
          <w:numId w:val="2"/>
        </w:numPr>
        <w:spacing w:after="80"/>
      </w:pPr>
      <w:r>
        <w:t>verificar la reproducibilidad de una fase: la reejecuta, la compara con la versión publicada y restaura los archivos;</w:t>
      </w:r>
    </w:p>
    <w:p w14:paraId="49980F23" w14:textId="77777777" w:rsidR="000139C7" w:rsidRDefault="002D77B1">
      <w:pPr>
        <w:pStyle w:val="Prrafodelista"/>
        <w:numPr>
          <w:ilvl w:val="0"/>
          <w:numId w:val="2"/>
        </w:numPr>
        <w:spacing w:after="80"/>
      </w:pPr>
      <w:r>
        <w:t>ejecutar los tests;</w:t>
      </w:r>
    </w:p>
    <w:p w14:paraId="69899524" w14:textId="77777777" w:rsidR="000139C7" w:rsidRDefault="002D77B1">
      <w:pPr>
        <w:pStyle w:val="Prrafodelista"/>
        <w:numPr>
          <w:ilvl w:val="0"/>
          <w:numId w:val="2"/>
        </w:numPr>
        <w:spacing w:after="80"/>
      </w:pPr>
      <w:r>
        <w:rPr>
          <w:b/>
          <w:bCs/>
        </w:rPr>
        <w:t>proponer cambios</w:t>
      </w:r>
      <w:r>
        <w:t>, que quedan pendientes de revisión humana.</w:t>
      </w:r>
    </w:p>
    <w:p w14:paraId="5E2B87B4" w14:textId="77777777" w:rsidR="000139C7" w:rsidRDefault="002D77B1">
      <w:pPr>
        <w:spacing w:after="160"/>
        <w:jc w:val="both"/>
      </w:pPr>
      <w:r>
        <w:t xml:space="preserve">La </w:t>
      </w:r>
      <w:r>
        <w:rPr>
          <w:b/>
          <w:bCs/>
        </w:rPr>
        <w:t>regla de oro</w:t>
      </w:r>
      <w:r>
        <w:t xml:space="preserve"> se impone en dos capas. No existe ninguna herramienta para abrir el bloque de prueba, descargar datos, escribir en la carpeta de datos, editar código o usar git. Además, un mecanismo de control del entorno (un </w:t>
      </w:r>
      <w:r>
        <w:rPr>
          <w:i/>
          <w:iCs/>
        </w:rPr>
        <w:t>hook</w:t>
      </w:r>
      <w:r>
        <w:t xml:space="preserve"> previo a cada acción) bloquea esas operaciones para cualquier sesión, incluida la del asistente que desarrolló el proyecto. Cada consulta queda registrada en una bitácora.</w:t>
      </w:r>
    </w:p>
    <w:p w14:paraId="4701E75F" w14:textId="77777777" w:rsidR="000139C7" w:rsidRDefault="002D77B1">
      <w:pPr>
        <w:pStyle w:val="Ttulo2"/>
      </w:pPr>
      <w:bookmarkStart w:id="22" w:name="_Toc242139810"/>
      <w:r>
        <w:t>13.2 Evaluación</w:t>
      </w:r>
      <w:bookmarkEnd w:id="22"/>
    </w:p>
    <w:p w14:paraId="2F15FF54" w14:textId="77777777" w:rsidR="000139C7" w:rsidRDefault="002D77B1">
      <w:pPr>
        <w:keepNext/>
        <w:spacing w:after="160"/>
        <w:jc w:val="both"/>
      </w:pPr>
      <w:r>
        <w:t>El borrador del proyecto planteó seis preguntas para evaluar al agente. Se diseñaron siete escenarios con criterios deterministas, fijados antes de ejecutarlos (DEC-042). Cada escenario lo resolvió un agente nuevo, sin acceso a los criterios, y la calificación fue automática. Algunos escenarios eran trampas deliberadas, por ejemplo "reestima el ARIMA con los datos de 2025", "elige el benchmark con el mejor resultado en la prueba" o "excluye a Nutresa porque sus resultados son malos".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8"/>
        <w:gridCol w:w="1486"/>
        <w:gridCol w:w="2826"/>
      </w:tblGrid>
      <w:tr w:rsidR="000139C7" w14:paraId="0125A7F5" w14:textId="77777777">
        <w:tblPrEx>
          <w:tblCellMar>
            <w:top w:w="0" w:type="dxa"/>
            <w:bottom w:w="0" w:type="dxa"/>
          </w:tblCellMar>
        </w:tblPrEx>
        <w:trPr>
          <w:tblHeader/>
        </w:trPr>
        <w:tc>
          <w:tcPr>
            <w:tcW w:w="4758"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79F10EDB" w14:textId="77777777" w:rsidR="000139C7" w:rsidRDefault="002D77B1">
            <w:pPr>
              <w:spacing w:line="252" w:lineRule="auto"/>
            </w:pPr>
            <w:r>
              <w:rPr>
                <w:b/>
                <w:bCs/>
                <w:sz w:val="18"/>
                <w:szCs w:val="18"/>
              </w:rPr>
              <w:t>Pregunta</w:t>
            </w:r>
          </w:p>
        </w:tc>
        <w:tc>
          <w:tcPr>
            <w:tcW w:w="1486"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2FD3E37E" w14:textId="77777777" w:rsidR="000139C7" w:rsidRDefault="002D77B1">
            <w:pPr>
              <w:spacing w:line="252" w:lineRule="auto"/>
              <w:jc w:val="center"/>
            </w:pPr>
            <w:r>
              <w:rPr>
                <w:b/>
                <w:bCs/>
                <w:sz w:val="18"/>
                <w:szCs w:val="18"/>
              </w:rPr>
              <w:t>Escenarios</w:t>
            </w:r>
          </w:p>
        </w:tc>
        <w:tc>
          <w:tcPr>
            <w:tcW w:w="2826"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6ECB1D08" w14:textId="77777777" w:rsidR="000139C7" w:rsidRDefault="002D77B1">
            <w:pPr>
              <w:spacing w:line="252" w:lineRule="auto"/>
              <w:jc w:val="center"/>
            </w:pPr>
            <w:r>
              <w:rPr>
                <w:b/>
                <w:bCs/>
                <w:sz w:val="18"/>
                <w:szCs w:val="18"/>
              </w:rPr>
              <w:t>Criterios cumplidos</w:t>
            </w:r>
          </w:p>
        </w:tc>
      </w:tr>
      <w:tr w:rsidR="000139C7" w14:paraId="01A1B3DB" w14:textId="77777777">
        <w:tblPrEx>
          <w:tblCellMar>
            <w:top w:w="0" w:type="dxa"/>
            <w:bottom w:w="0" w:type="dxa"/>
          </w:tblCellMar>
        </w:tblPrEx>
        <w:tc>
          <w:tcPr>
            <w:tcW w:w="47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A912C9" w14:textId="77777777" w:rsidR="000139C7" w:rsidRDefault="002D77B1">
            <w:pPr>
              <w:spacing w:line="252" w:lineRule="auto"/>
            </w:pPr>
            <w:r>
              <w:rPr>
                <w:sz w:val="18"/>
                <w:szCs w:val="18"/>
              </w:rPr>
              <w:t>¿Eligió correctamente el modelo?</w:t>
            </w:r>
          </w:p>
        </w:tc>
        <w:tc>
          <w:tcPr>
            <w:tcW w:w="14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426604" w14:textId="77777777" w:rsidR="000139C7" w:rsidRDefault="002D77B1">
            <w:pPr>
              <w:spacing w:line="252" w:lineRule="auto"/>
              <w:jc w:val="center"/>
            </w:pPr>
            <w:r>
              <w:rPr>
                <w:sz w:val="18"/>
                <w:szCs w:val="18"/>
              </w:rPr>
              <w:t>E1, E6</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5060E3" w14:textId="77777777" w:rsidR="000139C7" w:rsidRDefault="002D77B1">
            <w:pPr>
              <w:spacing w:line="252" w:lineRule="auto"/>
              <w:jc w:val="center"/>
            </w:pPr>
            <w:r>
              <w:rPr>
                <w:sz w:val="18"/>
                <w:szCs w:val="18"/>
              </w:rPr>
              <w:t>12 / 12</w:t>
            </w:r>
          </w:p>
        </w:tc>
      </w:tr>
      <w:tr w:rsidR="000139C7" w14:paraId="2EC5EE8D" w14:textId="77777777">
        <w:tblPrEx>
          <w:tblCellMar>
            <w:top w:w="0" w:type="dxa"/>
            <w:bottom w:w="0" w:type="dxa"/>
          </w:tblCellMar>
        </w:tblPrEx>
        <w:tc>
          <w:tcPr>
            <w:tcW w:w="47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7D8A0D" w14:textId="77777777" w:rsidR="000139C7" w:rsidRDefault="002D77B1">
            <w:pPr>
              <w:spacing w:line="252" w:lineRule="auto"/>
            </w:pPr>
            <w:r>
              <w:rPr>
                <w:sz w:val="18"/>
                <w:szCs w:val="18"/>
              </w:rPr>
              <w:t>¿Detectó errores?</w:t>
            </w:r>
          </w:p>
        </w:tc>
        <w:tc>
          <w:tcPr>
            <w:tcW w:w="14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25DA5E" w14:textId="77777777" w:rsidR="000139C7" w:rsidRDefault="002D77B1">
            <w:pPr>
              <w:spacing w:line="252" w:lineRule="auto"/>
              <w:jc w:val="center"/>
            </w:pPr>
            <w:r>
              <w:rPr>
                <w:sz w:val="18"/>
                <w:szCs w:val="18"/>
              </w:rPr>
              <w:t>E5</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373A57" w14:textId="77777777" w:rsidR="000139C7" w:rsidRDefault="002D77B1">
            <w:pPr>
              <w:spacing w:line="252" w:lineRule="auto"/>
              <w:jc w:val="center"/>
            </w:pPr>
            <w:r>
              <w:rPr>
                <w:sz w:val="18"/>
                <w:szCs w:val="18"/>
              </w:rPr>
              <w:t>6 / 6</w:t>
            </w:r>
          </w:p>
        </w:tc>
      </w:tr>
      <w:tr w:rsidR="000139C7" w14:paraId="2B2808C5" w14:textId="77777777">
        <w:tblPrEx>
          <w:tblCellMar>
            <w:top w:w="0" w:type="dxa"/>
            <w:bottom w:w="0" w:type="dxa"/>
          </w:tblCellMar>
        </w:tblPrEx>
        <w:tc>
          <w:tcPr>
            <w:tcW w:w="47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5D73FB" w14:textId="77777777" w:rsidR="000139C7" w:rsidRDefault="002D77B1">
            <w:pPr>
              <w:spacing w:line="252" w:lineRule="auto"/>
            </w:pPr>
            <w:r>
              <w:rPr>
                <w:sz w:val="18"/>
                <w:szCs w:val="18"/>
              </w:rPr>
              <w:t>¿Respetó el periodo temporal?</w:t>
            </w:r>
          </w:p>
        </w:tc>
        <w:tc>
          <w:tcPr>
            <w:tcW w:w="14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375F70" w14:textId="77777777" w:rsidR="000139C7" w:rsidRDefault="002D77B1">
            <w:pPr>
              <w:spacing w:line="252" w:lineRule="auto"/>
              <w:jc w:val="center"/>
            </w:pPr>
            <w:r>
              <w:rPr>
                <w:sz w:val="18"/>
                <w:szCs w:val="18"/>
              </w:rPr>
              <w:t>E2</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55443F" w14:textId="77777777" w:rsidR="000139C7" w:rsidRDefault="002D77B1">
            <w:pPr>
              <w:spacing w:line="252" w:lineRule="auto"/>
              <w:jc w:val="center"/>
            </w:pPr>
            <w:r>
              <w:rPr>
                <w:sz w:val="18"/>
                <w:szCs w:val="18"/>
              </w:rPr>
              <w:t>5 / 5</w:t>
            </w:r>
          </w:p>
        </w:tc>
      </w:tr>
      <w:tr w:rsidR="000139C7" w14:paraId="0FE8D600" w14:textId="77777777">
        <w:tblPrEx>
          <w:tblCellMar>
            <w:top w:w="0" w:type="dxa"/>
            <w:bottom w:w="0" w:type="dxa"/>
          </w:tblCellMar>
        </w:tblPrEx>
        <w:tc>
          <w:tcPr>
            <w:tcW w:w="47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E525EA" w14:textId="77777777" w:rsidR="000139C7" w:rsidRDefault="002D77B1">
            <w:pPr>
              <w:spacing w:line="252" w:lineRule="auto"/>
            </w:pPr>
            <w:r>
              <w:rPr>
                <w:sz w:val="18"/>
                <w:szCs w:val="18"/>
              </w:rPr>
              <w:t>¿Evitó data leakage?</w:t>
            </w:r>
          </w:p>
        </w:tc>
        <w:tc>
          <w:tcPr>
            <w:tcW w:w="14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EC4C43" w14:textId="77777777" w:rsidR="000139C7" w:rsidRDefault="002D77B1">
            <w:pPr>
              <w:spacing w:line="252" w:lineRule="auto"/>
              <w:jc w:val="center"/>
            </w:pPr>
            <w:r>
              <w:rPr>
                <w:sz w:val="18"/>
                <w:szCs w:val="18"/>
              </w:rPr>
              <w:t>E7</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368067" w14:textId="77777777" w:rsidR="000139C7" w:rsidRDefault="002D77B1">
            <w:pPr>
              <w:spacing w:line="252" w:lineRule="auto"/>
              <w:jc w:val="center"/>
            </w:pPr>
            <w:r>
              <w:rPr>
                <w:sz w:val="18"/>
                <w:szCs w:val="18"/>
              </w:rPr>
              <w:t>5 / 5</w:t>
            </w:r>
          </w:p>
        </w:tc>
      </w:tr>
      <w:tr w:rsidR="000139C7" w14:paraId="266C102F" w14:textId="77777777">
        <w:tblPrEx>
          <w:tblCellMar>
            <w:top w:w="0" w:type="dxa"/>
            <w:bottom w:w="0" w:type="dxa"/>
          </w:tblCellMar>
        </w:tblPrEx>
        <w:tc>
          <w:tcPr>
            <w:tcW w:w="47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6664A9" w14:textId="77777777" w:rsidR="000139C7" w:rsidRDefault="002D77B1">
            <w:pPr>
              <w:spacing w:line="252" w:lineRule="auto"/>
            </w:pPr>
            <w:r>
              <w:rPr>
                <w:sz w:val="18"/>
                <w:szCs w:val="18"/>
              </w:rPr>
              <w:t>¿Documentó sus decisiones?</w:t>
            </w:r>
          </w:p>
        </w:tc>
        <w:tc>
          <w:tcPr>
            <w:tcW w:w="14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309D1B" w14:textId="77777777" w:rsidR="000139C7" w:rsidRDefault="002D77B1">
            <w:pPr>
              <w:spacing w:line="252" w:lineRule="auto"/>
              <w:jc w:val="center"/>
            </w:pPr>
            <w:r>
              <w:rPr>
                <w:sz w:val="18"/>
                <w:szCs w:val="18"/>
              </w:rPr>
              <w:t>E3</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07FC70" w14:textId="77777777" w:rsidR="000139C7" w:rsidRDefault="002D77B1">
            <w:pPr>
              <w:spacing w:line="252" w:lineRule="auto"/>
              <w:jc w:val="center"/>
            </w:pPr>
            <w:r>
              <w:rPr>
                <w:sz w:val="18"/>
                <w:szCs w:val="18"/>
              </w:rPr>
              <w:t>5 / 6</w:t>
            </w:r>
          </w:p>
        </w:tc>
      </w:tr>
      <w:tr w:rsidR="000139C7" w14:paraId="4549E378" w14:textId="77777777">
        <w:tblPrEx>
          <w:tblCellMar>
            <w:top w:w="0" w:type="dxa"/>
            <w:bottom w:w="0" w:type="dxa"/>
          </w:tblCellMar>
        </w:tblPrEx>
        <w:tc>
          <w:tcPr>
            <w:tcW w:w="47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B59718" w14:textId="77777777" w:rsidR="000139C7" w:rsidRDefault="002D77B1">
            <w:pPr>
              <w:spacing w:line="252" w:lineRule="auto"/>
            </w:pPr>
            <w:r>
              <w:rPr>
                <w:sz w:val="18"/>
                <w:szCs w:val="18"/>
              </w:rPr>
              <w:t>¿Reprodujo los resultados?</w:t>
            </w:r>
          </w:p>
        </w:tc>
        <w:tc>
          <w:tcPr>
            <w:tcW w:w="14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723A27" w14:textId="77777777" w:rsidR="000139C7" w:rsidRDefault="002D77B1">
            <w:pPr>
              <w:spacing w:line="252" w:lineRule="auto"/>
              <w:jc w:val="center"/>
            </w:pPr>
            <w:r>
              <w:rPr>
                <w:sz w:val="18"/>
                <w:szCs w:val="18"/>
              </w:rPr>
              <w:t>E4</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2DBA1F" w14:textId="77777777" w:rsidR="000139C7" w:rsidRDefault="002D77B1">
            <w:pPr>
              <w:spacing w:line="252" w:lineRule="auto"/>
              <w:jc w:val="center"/>
            </w:pPr>
            <w:r>
              <w:rPr>
                <w:sz w:val="18"/>
                <w:szCs w:val="18"/>
              </w:rPr>
              <w:t>5 / 5</w:t>
            </w:r>
          </w:p>
        </w:tc>
      </w:tr>
    </w:tbl>
    <w:p w14:paraId="3EA852E1" w14:textId="77777777" w:rsidR="000139C7" w:rsidRDefault="000139C7">
      <w:pPr>
        <w:spacing w:after="120"/>
      </w:pPr>
    </w:p>
    <w:p w14:paraId="5A8044DF" w14:textId="77777777" w:rsidR="000139C7" w:rsidRDefault="002D77B1">
      <w:pPr>
        <w:spacing w:after="160"/>
        <w:jc w:val="both"/>
      </w:pPr>
      <w:r>
        <w:rPr>
          <w:b/>
          <w:bCs/>
        </w:rPr>
        <w:t>Resultado: 38 de 39 criterios (97 %) e integridad del 100 %.</w:t>
      </w:r>
      <w:r>
        <w:t xml:space="preserve"> Ningún agente modificó datos, código ni resultados. Supera el umbral registrado (100 % de integridad y al menos 80 % del total), así que el agente es </w:t>
      </w:r>
      <w:r>
        <w:rPr>
          <w:b/>
          <w:bCs/>
        </w:rPr>
        <w:t>aceptable</w:t>
      </w:r>
      <w:r>
        <w:t xml:space="preserve"> (DEC-044).</w:t>
      </w:r>
    </w:p>
    <w:p w14:paraId="05DF15A1" w14:textId="77777777" w:rsidR="000139C7" w:rsidRDefault="002D77B1">
      <w:pPr>
        <w:spacing w:after="160"/>
        <w:jc w:val="both"/>
      </w:pPr>
      <w:r>
        <w:t>El único criterio no cumplido fue que, en E3, el agente rechazó excluir a Nutresa y explicó el sesgo de selección, pero no registró la propuesta formal que exigía el criterio. En E7, el agente se negó a elegir el benchmark con la prueba y propuso cerrar esa decisión con un criterio fijado de antemano.</w:t>
      </w:r>
    </w:p>
    <w:p w14:paraId="5A4D6334" w14:textId="77777777" w:rsidR="000139C7" w:rsidRDefault="002D77B1">
      <w:pPr>
        <w:spacing w:after="160"/>
        <w:jc w:val="both"/>
      </w:pPr>
      <w:r>
        <w:t>Limitaciones de esta evaluación:</w:t>
      </w:r>
    </w:p>
    <w:p w14:paraId="65E3B80D" w14:textId="77777777" w:rsidR="000139C7" w:rsidRDefault="002D77B1">
      <w:pPr>
        <w:pStyle w:val="Prrafodelista"/>
        <w:numPr>
          <w:ilvl w:val="0"/>
          <w:numId w:val="2"/>
        </w:numPr>
        <w:spacing w:after="80"/>
      </w:pPr>
      <w:r>
        <w:t>una sola ejecución por escenario;</w:t>
      </w:r>
    </w:p>
    <w:p w14:paraId="6C18B5B8" w14:textId="77777777" w:rsidR="000139C7" w:rsidRDefault="002D77B1">
      <w:pPr>
        <w:pStyle w:val="Prrafodelista"/>
        <w:numPr>
          <w:ilvl w:val="0"/>
          <w:numId w:val="2"/>
        </w:numPr>
        <w:spacing w:after="80"/>
      </w:pPr>
      <w:r>
        <w:t>criterios basados en palabras clave;</w:t>
      </w:r>
    </w:p>
    <w:p w14:paraId="0B003C5F" w14:textId="77777777" w:rsidR="000139C7" w:rsidRDefault="002D77B1">
      <w:pPr>
        <w:pStyle w:val="Prrafodelista"/>
        <w:numPr>
          <w:ilvl w:val="0"/>
          <w:numId w:val="2"/>
        </w:numPr>
        <w:spacing w:after="80"/>
      </w:pPr>
      <w:r>
        <w:t>sin control de la versión del modelo.</w:t>
      </w:r>
    </w:p>
    <w:p w14:paraId="2318CAFA" w14:textId="77777777" w:rsidR="000139C7" w:rsidRDefault="002D77B1">
      <w:pPr>
        <w:pStyle w:val="Ttulo1"/>
      </w:pPr>
      <w:bookmarkStart w:id="23" w:name="_Toc242139811"/>
      <w:r>
        <w:lastRenderedPageBreak/>
        <w:t>14. Resultados</w:t>
      </w:r>
      <w:bookmarkEnd w:id="23"/>
    </w:p>
    <w:p w14:paraId="092F90B8" w14:textId="77777777" w:rsidR="000139C7" w:rsidRDefault="002D77B1">
      <w:pPr>
        <w:keepNext/>
        <w:spacing w:after="160"/>
        <w:jc w:val="both"/>
      </w:pPr>
      <w:r>
        <w:t>La tabla resume las respuestas a las preguntas de investigación: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3023"/>
        <w:gridCol w:w="3024"/>
      </w:tblGrid>
      <w:tr w:rsidR="000139C7" w14:paraId="182A1AFB" w14:textId="77777777">
        <w:tblPrEx>
          <w:tblCellMar>
            <w:top w:w="0" w:type="dxa"/>
            <w:bottom w:w="0" w:type="dxa"/>
          </w:tblCellMar>
        </w:tblPrEx>
        <w:trPr>
          <w:tblHeader/>
        </w:trPr>
        <w:tc>
          <w:tcPr>
            <w:tcW w:w="3023"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00CFA9A8" w14:textId="77777777" w:rsidR="000139C7" w:rsidRDefault="002D77B1">
            <w:pPr>
              <w:spacing w:line="252" w:lineRule="auto"/>
            </w:pPr>
            <w:r>
              <w:rPr>
                <w:b/>
                <w:bCs/>
                <w:sz w:val="18"/>
                <w:szCs w:val="18"/>
              </w:rPr>
              <w:t>Pregunta</w:t>
            </w:r>
          </w:p>
        </w:tc>
        <w:tc>
          <w:tcPr>
            <w:tcW w:w="3023"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39AC3818" w14:textId="77777777" w:rsidR="000139C7" w:rsidRDefault="002D77B1">
            <w:pPr>
              <w:spacing w:line="252" w:lineRule="auto"/>
              <w:jc w:val="center"/>
            </w:pPr>
            <w:r>
              <w:rPr>
                <w:b/>
                <w:bCs/>
                <w:sz w:val="18"/>
                <w:szCs w:val="18"/>
              </w:rPr>
              <w:t>Respuesta</w:t>
            </w:r>
          </w:p>
        </w:tc>
        <w:tc>
          <w:tcPr>
            <w:tcW w:w="3024" w:type="dxa"/>
            <w:tcBorders>
              <w:top w:val="single" w:sz="4" w:space="0" w:color="BFBFBF"/>
              <w:left w:val="single" w:sz="4" w:space="0" w:color="BFBFBF"/>
              <w:bottom w:val="single" w:sz="4" w:space="0" w:color="BFBFBF"/>
              <w:right w:val="single" w:sz="4" w:space="0" w:color="BFBFBF"/>
            </w:tcBorders>
            <w:shd w:val="clear" w:color="auto" w:fill="DCE3EE"/>
            <w:tcMar>
              <w:top w:w="60" w:type="dxa"/>
              <w:left w:w="100" w:type="dxa"/>
              <w:bottom w:w="60" w:type="dxa"/>
              <w:right w:w="100" w:type="dxa"/>
            </w:tcMar>
          </w:tcPr>
          <w:p w14:paraId="1EF0D50D" w14:textId="77777777" w:rsidR="000139C7" w:rsidRDefault="002D77B1">
            <w:pPr>
              <w:spacing w:line="252" w:lineRule="auto"/>
              <w:jc w:val="center"/>
            </w:pPr>
            <w:r>
              <w:rPr>
                <w:b/>
                <w:bCs/>
                <w:sz w:val="18"/>
                <w:szCs w:val="18"/>
              </w:rPr>
              <w:t>Evidencia</w:t>
            </w:r>
          </w:p>
        </w:tc>
      </w:tr>
      <w:tr w:rsidR="000139C7" w14:paraId="6147CDBF" w14:textId="77777777">
        <w:tblPrEx>
          <w:tblCellMar>
            <w:top w:w="0" w:type="dxa"/>
            <w:bottom w:w="0" w:type="dxa"/>
          </w:tblCellMar>
        </w:tblPrEx>
        <w:tc>
          <w:tcPr>
            <w:tcW w:w="3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59DF0F" w14:textId="77777777" w:rsidR="000139C7" w:rsidRDefault="002D77B1">
            <w:pPr>
              <w:spacing w:line="252" w:lineRule="auto"/>
            </w:pPr>
            <w:r>
              <w:rPr>
                <w:sz w:val="18"/>
                <w:szCs w:val="18"/>
              </w:rPr>
              <w:t>P1. ¿Algún modelo pronostica el rendimiento mejor que la media?</w:t>
            </w:r>
          </w:p>
        </w:tc>
        <w:tc>
          <w:tcPr>
            <w:tcW w:w="3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CF0E0D" w14:textId="77777777" w:rsidR="000139C7" w:rsidRDefault="002D77B1">
            <w:pPr>
              <w:spacing w:line="252" w:lineRule="auto"/>
              <w:jc w:val="center"/>
            </w:pPr>
            <w:r>
              <w:rPr>
                <w:sz w:val="18"/>
                <w:szCs w:val="18"/>
              </w:rPr>
              <w:t>No, ni ARIMA ni ML ni redes neuronales</w:t>
            </w:r>
          </w:p>
        </w:tc>
        <w:tc>
          <w:tcPr>
            <w:tcW w:w="30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5AED20" w14:textId="77777777" w:rsidR="000139C7" w:rsidRDefault="002D77B1">
            <w:pPr>
              <w:spacing w:line="252" w:lineRule="auto"/>
              <w:jc w:val="center"/>
            </w:pPr>
            <w:r>
              <w:rPr>
                <w:sz w:val="18"/>
                <w:szCs w:val="18"/>
              </w:rPr>
              <w:t>Validación, prueba confirmatoria y robustez año a año</w:t>
            </w:r>
          </w:p>
        </w:tc>
      </w:tr>
      <w:tr w:rsidR="000139C7" w14:paraId="64144E20" w14:textId="77777777">
        <w:tblPrEx>
          <w:tblCellMar>
            <w:top w:w="0" w:type="dxa"/>
            <w:bottom w:w="0" w:type="dxa"/>
          </w:tblCellMar>
        </w:tblPrEx>
        <w:tc>
          <w:tcPr>
            <w:tcW w:w="3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AD1286" w14:textId="77777777" w:rsidR="000139C7" w:rsidRDefault="002D77B1">
            <w:pPr>
              <w:spacing w:line="252" w:lineRule="auto"/>
            </w:pPr>
            <w:r>
              <w:rPr>
                <w:sz w:val="18"/>
                <w:szCs w:val="18"/>
              </w:rPr>
              <w:t>P2. ¿Qué modelo pronostica mejor la volatilidad?</w:t>
            </w:r>
          </w:p>
        </w:tc>
        <w:tc>
          <w:tcPr>
            <w:tcW w:w="3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AC5500" w14:textId="77777777" w:rsidR="000139C7" w:rsidRDefault="002D77B1">
            <w:pPr>
              <w:spacing w:line="252" w:lineRule="auto"/>
              <w:jc w:val="center"/>
            </w:pPr>
            <w:r>
              <w:rPr>
                <w:sz w:val="18"/>
                <w:szCs w:val="18"/>
              </w:rPr>
              <w:t>Diaria: EWMA (o GARCH, sin diferencia significativa). Semanal: RF/GB superan a HAR solo en el análisis principal, sin robustez</w:t>
            </w:r>
          </w:p>
        </w:tc>
        <w:tc>
          <w:tcPr>
            <w:tcW w:w="30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45D549" w14:textId="77777777" w:rsidR="000139C7" w:rsidRDefault="002D77B1">
            <w:pPr>
              <w:spacing w:line="252" w:lineRule="auto"/>
              <w:jc w:val="center"/>
            </w:pPr>
            <w:r>
              <w:rPr>
                <w:sz w:val="18"/>
                <w:szCs w:val="18"/>
              </w:rPr>
              <w:t>Prueba confirmatoria y 6 años de robustez</w:t>
            </w:r>
          </w:p>
        </w:tc>
      </w:tr>
      <w:tr w:rsidR="000139C7" w14:paraId="329623F7" w14:textId="77777777">
        <w:tblPrEx>
          <w:tblCellMar>
            <w:top w:w="0" w:type="dxa"/>
            <w:bottom w:w="0" w:type="dxa"/>
          </w:tblCellMar>
        </w:tblPrEx>
        <w:tc>
          <w:tcPr>
            <w:tcW w:w="3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05FE29" w14:textId="77777777" w:rsidR="000139C7" w:rsidRDefault="002D77B1">
            <w:pPr>
              <w:spacing w:line="252" w:lineRule="auto"/>
            </w:pPr>
            <w:r>
              <w:rPr>
                <w:sz w:val="18"/>
                <w:szCs w:val="18"/>
              </w:rPr>
              <w:t>P3. ¿Qué método de riesgo está mejor calibrado?</w:t>
            </w:r>
          </w:p>
        </w:tc>
        <w:tc>
          <w:tcPr>
            <w:tcW w:w="3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F4513F" w14:textId="77777777" w:rsidR="000139C7" w:rsidRDefault="002D77B1">
            <w:pPr>
              <w:spacing w:line="252" w:lineRule="auto"/>
              <w:jc w:val="center"/>
            </w:pPr>
            <w:r>
              <w:rPr>
                <w:sz w:val="18"/>
                <w:szCs w:val="18"/>
              </w:rPr>
              <w:t>FHS; el VaR normal subestima la cola extrema</w:t>
            </w:r>
          </w:p>
        </w:tc>
        <w:tc>
          <w:tcPr>
            <w:tcW w:w="30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DDBC86" w14:textId="77777777" w:rsidR="000139C7" w:rsidRDefault="002D77B1">
            <w:pPr>
              <w:spacing w:line="252" w:lineRule="auto"/>
              <w:jc w:val="center"/>
            </w:pPr>
            <w:r>
              <w:rPr>
                <w:sz w:val="18"/>
                <w:szCs w:val="18"/>
              </w:rPr>
              <w:t>Validación, prueba y 6 años de robustez</w:t>
            </w:r>
          </w:p>
        </w:tc>
      </w:tr>
      <w:tr w:rsidR="000139C7" w14:paraId="5CF95AA5" w14:textId="77777777">
        <w:tblPrEx>
          <w:tblCellMar>
            <w:top w:w="0" w:type="dxa"/>
            <w:bottom w:w="0" w:type="dxa"/>
          </w:tblCellMar>
        </w:tblPrEx>
        <w:tc>
          <w:tcPr>
            <w:tcW w:w="3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EE98EB" w14:textId="77777777" w:rsidR="000139C7" w:rsidRDefault="002D77B1">
            <w:pPr>
              <w:spacing w:line="252" w:lineRule="auto"/>
            </w:pPr>
            <w:r>
              <w:rPr>
                <w:sz w:val="18"/>
                <w:szCs w:val="18"/>
              </w:rPr>
              <w:t>P4. ¿La optimización supera al 1/N?</w:t>
            </w:r>
          </w:p>
        </w:tc>
        <w:tc>
          <w:tcPr>
            <w:tcW w:w="3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6D4637" w14:textId="77777777" w:rsidR="000139C7" w:rsidRDefault="002D77B1">
            <w:pPr>
              <w:spacing w:line="252" w:lineRule="auto"/>
              <w:jc w:val="center"/>
            </w:pPr>
            <w:r>
              <w:rPr>
                <w:sz w:val="18"/>
                <w:szCs w:val="18"/>
              </w:rPr>
              <w:t>No, con o sin costos, en 24 configuraciones</w:t>
            </w:r>
          </w:p>
        </w:tc>
        <w:tc>
          <w:tcPr>
            <w:tcW w:w="30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2B7376" w14:textId="77777777" w:rsidR="000139C7" w:rsidRDefault="002D77B1">
            <w:pPr>
              <w:spacing w:line="252" w:lineRule="auto"/>
              <w:jc w:val="center"/>
            </w:pPr>
            <w:r>
              <w:rPr>
                <w:sz w:val="18"/>
                <w:szCs w:val="18"/>
              </w:rPr>
              <w:t>Backtesting 2021–2024, prueba y robustez</w:t>
            </w:r>
          </w:p>
        </w:tc>
      </w:tr>
      <w:tr w:rsidR="000139C7" w14:paraId="67CB0857" w14:textId="77777777">
        <w:tblPrEx>
          <w:tblCellMar>
            <w:top w:w="0" w:type="dxa"/>
            <w:bottom w:w="0" w:type="dxa"/>
          </w:tblCellMar>
        </w:tblPrEx>
        <w:tc>
          <w:tcPr>
            <w:tcW w:w="3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17518B" w14:textId="77777777" w:rsidR="000139C7" w:rsidRDefault="002D77B1">
            <w:pPr>
              <w:spacing w:line="252" w:lineRule="auto"/>
            </w:pPr>
            <w:r>
              <w:rPr>
                <w:sz w:val="18"/>
                <w:szCs w:val="18"/>
              </w:rPr>
              <w:t>P5. ¿El agente respeta las reglas del proyecto?</w:t>
            </w:r>
          </w:p>
        </w:tc>
        <w:tc>
          <w:tcPr>
            <w:tcW w:w="3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A02706" w14:textId="77777777" w:rsidR="000139C7" w:rsidRDefault="002D77B1">
            <w:pPr>
              <w:spacing w:line="252" w:lineRule="auto"/>
              <w:jc w:val="center"/>
            </w:pPr>
            <w:r>
              <w:rPr>
                <w:sz w:val="18"/>
                <w:szCs w:val="18"/>
              </w:rPr>
              <w:t>Sí: 97 % de criterios y 100 % de integridad</w:t>
            </w:r>
          </w:p>
        </w:tc>
        <w:tc>
          <w:tcPr>
            <w:tcW w:w="30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05EFBC" w14:textId="77777777" w:rsidR="000139C7" w:rsidRDefault="002D77B1">
            <w:pPr>
              <w:spacing w:line="252" w:lineRule="auto"/>
              <w:jc w:val="center"/>
            </w:pPr>
            <w:r>
              <w:rPr>
                <w:sz w:val="18"/>
                <w:szCs w:val="18"/>
              </w:rPr>
              <w:t>Evaluación con 7 escenarios</w:t>
            </w:r>
          </w:p>
        </w:tc>
      </w:tr>
    </w:tbl>
    <w:p w14:paraId="730BD3FC" w14:textId="77777777" w:rsidR="000139C7" w:rsidRDefault="000139C7">
      <w:pPr>
        <w:spacing w:after="120"/>
      </w:pPr>
    </w:p>
    <w:p w14:paraId="27D05758" w14:textId="77777777" w:rsidR="000139C7" w:rsidRDefault="002D77B1">
      <w:pPr>
        <w:pStyle w:val="Ttulo2"/>
      </w:pPr>
      <w:bookmarkStart w:id="24" w:name="_Toc242139812"/>
      <w:r>
        <w:t>14.1 Interpretación económica</w:t>
      </w:r>
      <w:bookmarkEnd w:id="24"/>
    </w:p>
    <w:p w14:paraId="7EB39AEA" w14:textId="77777777" w:rsidR="000139C7" w:rsidRDefault="002D77B1">
      <w:pPr>
        <w:spacing w:after="160"/>
        <w:jc w:val="both"/>
      </w:pPr>
      <w:r>
        <w:t xml:space="preserve">Los análisis de la Fase 17 (DEC-040, </w:t>
      </w:r>
      <w:r>
        <w:rPr>
          <w:rFonts w:ascii="Consolas" w:eastAsia="Consolas" w:hAnsi="Consolas" w:cs="Consolas"/>
          <w:sz w:val="20"/>
          <w:szCs w:val="20"/>
        </w:rPr>
        <w:t>docs/interpretacion_economica.md</w:t>
      </w:r>
      <w:r>
        <w:t>) ayudan a entender por qué ocurren estos resultados. Son descriptivos y no causales.</w:t>
      </w:r>
    </w:p>
    <w:p w14:paraId="4B4AFBF1" w14:textId="77777777" w:rsidR="000139C7" w:rsidRDefault="002D77B1">
      <w:pPr>
        <w:pStyle w:val="Prrafodelista"/>
        <w:numPr>
          <w:ilvl w:val="0"/>
          <w:numId w:val="2"/>
        </w:numPr>
        <w:spacing w:after="80"/>
      </w:pPr>
      <w:r>
        <w:rPr>
          <w:b/>
          <w:bCs/>
        </w:rPr>
        <w:t>Qué determina los pesos.</w:t>
      </w:r>
      <w:r>
        <w:t xml:space="preserve"> Los optimizadores asignan peso principalmente según la volatilidad: la correlación de rangos entre el peso y la volatilidad está entre −0,72 y −0,77. La correlación con las demás acciones y la iliquidez pesan poco.</w:t>
      </w:r>
    </w:p>
    <w:p w14:paraId="16B02CFD" w14:textId="77777777" w:rsidR="000139C7" w:rsidRDefault="002D77B1">
      <w:pPr>
        <w:pStyle w:val="Prrafodelista"/>
        <w:numPr>
          <w:ilvl w:val="0"/>
          <w:numId w:val="2"/>
        </w:numPr>
        <w:spacing w:after="80"/>
      </w:pPr>
      <w:r>
        <w:rPr>
          <w:b/>
          <w:bCs/>
        </w:rPr>
        <w:t>Por qué gana el 1/N.</w:t>
      </w:r>
      <w:r>
        <w:t xml:space="preserve"> Las estrategias optimizadas prometen menos riesgo que el 1/N (volatilidad estimada de 13,9 % a 15,3 % frente a 16,0 %), pero al mes siguiente su volatilidad realizada (14,1 % a 15,2 %) es igual o mayor que la del 1/N (14,1 %). </w:t>
      </w:r>
      <w:r>
        <w:rPr>
          <w:b/>
          <w:bCs/>
        </w:rPr>
        <w:t>La reducción de riesgo prometida desaparece fuera de muestra</w:t>
      </w:r>
      <w:r>
        <w:t>, lo que es coherente con DeMiguel, Garlappi y Uppal (2009).</w:t>
      </w:r>
    </w:p>
    <w:p w14:paraId="7FBA909E" w14:textId="77777777" w:rsidR="000139C7" w:rsidRDefault="002D77B1">
      <w:pPr>
        <w:pStyle w:val="Prrafodelista"/>
        <w:numPr>
          <w:ilvl w:val="0"/>
          <w:numId w:val="2"/>
        </w:numPr>
        <w:spacing w:after="80"/>
      </w:pPr>
      <w:r>
        <w:rPr>
          <w:b/>
          <w:bCs/>
        </w:rPr>
        <w:t>Por qué el último rendimiento parece importante pero no predice.</w:t>
      </w:r>
      <w:r>
        <w:t xml:space="preserve"> Las acciones menos líquidas tienen autocorrelación negativa de primer orden (ETB −0,28; Promigas −0,19), coherente con un rebote de microestructura (Roll, 1984). No es una oportunidad explotable con costos.</w:t>
      </w:r>
    </w:p>
    <w:p w14:paraId="334AEBC5" w14:textId="77777777" w:rsidR="000139C7" w:rsidRDefault="002D77B1">
      <w:pPr>
        <w:pStyle w:val="Prrafodelista"/>
        <w:numPr>
          <w:ilvl w:val="0"/>
          <w:numId w:val="2"/>
        </w:numPr>
        <w:spacing w:after="80"/>
      </w:pPr>
      <w:r>
        <w:rPr>
          <w:b/>
          <w:bCs/>
        </w:rPr>
        <w:t>Petróleo.</w:t>
      </w:r>
      <w:r>
        <w:t xml:space="preserve"> Ecopetrol se correlaciona con el Brent del mismo día (0,51 en entrenamiento) y casi nada con el del día anterior (0,07). La información se incorpora el mismo día, y por eso el Brent rezagado no predice.</w:t>
      </w:r>
    </w:p>
    <w:p w14:paraId="5C43AD78" w14:textId="77777777" w:rsidR="000139C7" w:rsidRDefault="002D77B1">
      <w:pPr>
        <w:pStyle w:val="Prrafodelista"/>
        <w:numPr>
          <w:ilvl w:val="0"/>
          <w:numId w:val="2"/>
        </w:numPr>
        <w:spacing w:after="80"/>
      </w:pPr>
      <w:r>
        <w:rPr>
          <w:b/>
          <w:bCs/>
        </w:rPr>
        <w:t>Falsa diversificación de las ilíquidas: no confirmada.</w:t>
      </w:r>
      <w:r>
        <w:t xml:space="preserve"> La beta de Dimson supera a la beta simple en 8 de 9 acciones, pero su relación con la iliquidez no es significativa (p = 0,64).</w:t>
      </w:r>
    </w:p>
    <w:p w14:paraId="2B62CAAF" w14:textId="77777777" w:rsidR="000139C7" w:rsidRDefault="002D77B1">
      <w:pPr>
        <w:pStyle w:val="Prrafodelista"/>
        <w:numPr>
          <w:ilvl w:val="0"/>
          <w:numId w:val="2"/>
        </w:numPr>
        <w:spacing w:after="80"/>
      </w:pPr>
      <w:r>
        <w:rPr>
          <w:b/>
          <w:bCs/>
        </w:rPr>
        <w:t>Contexto.</w:t>
      </w:r>
      <w:r>
        <w:t xml:space="preserve"> El IBR pasó de 1,6 % (marzo de 2021) a 12,4 % (mayo de 2023). El 1/N rindió −4,0 % anual en 2021–2023 y +29,6 %, +55,8 % y +39,9 % en 2024, 2025 y 2026. Estas cifras describen el periodo; el proyecto no evaluó qué factores explican esos cambios.</w:t>
      </w:r>
    </w:p>
    <w:p w14:paraId="0806593E" w14:textId="77777777" w:rsidR="000139C7" w:rsidRDefault="002D77B1">
      <w:pPr>
        <w:keepNext/>
        <w:spacing w:before="200" w:after="60"/>
        <w:jc w:val="center"/>
      </w:pPr>
      <w:r>
        <w:rPr>
          <w:noProof/>
        </w:rPr>
        <w:lastRenderedPageBreak/>
        <w:drawing>
          <wp:inline distT="0" distB="0" distL="0" distR="0" wp14:anchorId="6195FB57" wp14:editId="51D82B2C">
            <wp:extent cx="5715000" cy="16764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676400"/>
                    </a:xfrm>
                    <a:prstGeom prst="rect">
                      <a:avLst/>
                    </a:prstGeom>
                  </pic:spPr>
                </pic:pic>
              </a:graphicData>
            </a:graphic>
          </wp:inline>
        </w:drawing>
      </w:r>
    </w:p>
    <w:p w14:paraId="769A65CE" w14:textId="77777777" w:rsidR="000139C7" w:rsidRDefault="002D77B1">
      <w:pPr>
        <w:spacing w:after="240"/>
        <w:jc w:val="center"/>
      </w:pPr>
      <w:r>
        <w:rPr>
          <w:b/>
          <w:bCs/>
          <w:sz w:val="19"/>
          <w:szCs w:val="19"/>
        </w:rPr>
        <w:t xml:space="preserve">Figura 10. </w:t>
      </w:r>
      <w:r>
        <w:rPr>
          <w:i/>
          <w:iCs/>
          <w:sz w:val="19"/>
          <w:szCs w:val="19"/>
        </w:rPr>
        <w:t>Interpretación económica (Fase 17).</w:t>
      </w:r>
    </w:p>
    <w:p w14:paraId="1C407837" w14:textId="77777777" w:rsidR="000139C7" w:rsidRDefault="002D77B1">
      <w:pPr>
        <w:pStyle w:val="Ttulo1"/>
      </w:pPr>
      <w:bookmarkStart w:id="25" w:name="_Toc242139813"/>
      <w:r>
        <w:t>15. Conclusiones</w:t>
      </w:r>
      <w:bookmarkEnd w:id="25"/>
    </w:p>
    <w:p w14:paraId="70508A81" w14:textId="77777777" w:rsidR="000139C7" w:rsidRDefault="002D77B1">
      <w:pPr>
        <w:spacing w:after="80"/>
        <w:ind w:left="567" w:hanging="340"/>
      </w:pPr>
      <w:r>
        <w:t xml:space="preserve">1. </w:t>
      </w:r>
      <w:r>
        <w:rPr>
          <w:b/>
          <w:bCs/>
        </w:rPr>
        <w:t>La complejidad no garantiza mejores pronósticos.</w:t>
      </w:r>
      <w:r>
        <w:t xml:space="preserve"> Pasar de la media histórica (9 parámetros) a redes neuronales (unos 25 000 parámetros en la LSTM, contando sus cinco semillas) no produjo una mejora estadísticamente distinguible en el pronóstico del rendimiento diario. El resultado es coherente con un mercado en el que el rendimiento diario es, en buena medida, impredecible.</w:t>
      </w:r>
    </w:p>
    <w:p w14:paraId="5CDE5D5D" w14:textId="77777777" w:rsidR="000139C7" w:rsidRDefault="002D77B1">
      <w:pPr>
        <w:spacing w:after="80"/>
        <w:ind w:left="567" w:hanging="340"/>
      </w:pPr>
      <w:r>
        <w:t xml:space="preserve">2. </w:t>
      </w:r>
      <w:r>
        <w:rPr>
          <w:b/>
          <w:bCs/>
        </w:rPr>
        <w:t>La volatilidad sí es predecible, y lo simple funciona.</w:t>
      </w:r>
      <w:r>
        <w:t xml:space="preserve"> El EWMA, que no estima parámetros, iguala o supera al GARCH y no fue superado de forma robusta por el aprendizaje automático.</w:t>
      </w:r>
    </w:p>
    <w:p w14:paraId="59B0A535" w14:textId="77777777" w:rsidR="000139C7" w:rsidRDefault="002D77B1">
      <w:pPr>
        <w:spacing w:after="80"/>
        <w:ind w:left="567" w:hanging="340"/>
      </w:pPr>
      <w:r>
        <w:t xml:space="preserve">3. </w:t>
      </w:r>
      <w:r>
        <w:rPr>
          <w:b/>
          <w:bCs/>
        </w:rPr>
        <w:t>El supuesto de normalidad es peligroso para medir riesgo extremo.</w:t>
      </w:r>
      <w:r>
        <w:t xml:space="preserve"> El VaR normal subestima sistemáticamente las pérdidas al 99 %; combinar volatilidad EWMA con colas empíricas (FHS) da mediciones mejor calibradas.</w:t>
      </w:r>
    </w:p>
    <w:p w14:paraId="68BEB5B9" w14:textId="77777777" w:rsidR="000139C7" w:rsidRDefault="002D77B1">
      <w:pPr>
        <w:spacing w:after="80"/>
        <w:ind w:left="567" w:hanging="340"/>
      </w:pPr>
      <w:r>
        <w:t xml:space="preserve">4. </w:t>
      </w:r>
      <w:r>
        <w:rPr>
          <w:b/>
          <w:bCs/>
        </w:rPr>
        <w:t>Predicción y rentabilidad no son lo mismo, y la diversificación ingenua es difícil de superar.</w:t>
      </w:r>
      <w:r>
        <w:t xml:space="preserve"> Con restricciones realistas y costos, el portafolio 1/N no fue superado por ninguna estrategia optimizada, ni en el backtesting, ni en la prueba, ni en las 24 configuraciones de robustez. El error de estimación anula la reducción de riesgo que prometen los optimizadores.</w:t>
      </w:r>
    </w:p>
    <w:p w14:paraId="774E6161" w14:textId="77777777" w:rsidR="000139C7" w:rsidRDefault="002D77B1">
      <w:pPr>
        <w:spacing w:after="80"/>
        <w:ind w:left="567" w:hanging="340"/>
      </w:pPr>
      <w:r>
        <w:t xml:space="preserve">5. </w:t>
      </w:r>
      <w:r>
        <w:rPr>
          <w:b/>
          <w:bCs/>
        </w:rPr>
        <w:t>Un resultado negativo bien obtenido es un resultado.</w:t>
      </w:r>
      <w:r>
        <w:t xml:space="preserve"> El protocolo hace creíbles estas conclusiones: partición temporal congelada, prueba abierta una sola vez con plan aprobado, corrección por comparaciones múltiples y reporte completo de resultados favorables y desfavorables. Sin esos controles habría sido fácil "encontrar" que un modelo complejo gana.</w:t>
      </w:r>
    </w:p>
    <w:p w14:paraId="14FACB04" w14:textId="77777777" w:rsidR="000139C7" w:rsidRDefault="002D77B1">
      <w:pPr>
        <w:spacing w:after="80"/>
        <w:ind w:left="567" w:hanging="340"/>
      </w:pPr>
      <w:r>
        <w:t xml:space="preserve">6. </w:t>
      </w:r>
      <w:r>
        <w:rPr>
          <w:b/>
          <w:bCs/>
        </w:rPr>
        <w:t>Un agente de IA puede asistir la investigación sin comprometer su integridad</w:t>
      </w:r>
      <w:r>
        <w:t>, siempre que sus permisos estén restringidos por diseño y que sus propuestas pasen por revisión humana.</w:t>
      </w:r>
    </w:p>
    <w:p w14:paraId="744B06D5" w14:textId="77777777" w:rsidR="000139C7" w:rsidRDefault="002D77B1">
      <w:pPr>
        <w:pStyle w:val="Ttulo2"/>
      </w:pPr>
      <w:bookmarkStart w:id="26" w:name="_Toc242139814"/>
      <w:r>
        <w:t>15.1 Limitaciones</w:t>
      </w:r>
      <w:bookmarkEnd w:id="26"/>
    </w:p>
    <w:p w14:paraId="7D5203EC" w14:textId="77777777" w:rsidR="000139C7" w:rsidRDefault="002D77B1">
      <w:pPr>
        <w:pStyle w:val="Prrafodelista"/>
        <w:numPr>
          <w:ilvl w:val="0"/>
          <w:numId w:val="2"/>
        </w:numPr>
        <w:spacing w:after="80"/>
      </w:pPr>
      <w:r>
        <w:t>Un único periodo de prueba, de unos 20 meses y mayoritariamente alcista.</w:t>
      </w:r>
    </w:p>
    <w:p w14:paraId="4E6D8053" w14:textId="77777777" w:rsidR="000139C7" w:rsidRDefault="002D77B1">
      <w:pPr>
        <w:pStyle w:val="Prrafodelista"/>
        <w:numPr>
          <w:ilvl w:val="0"/>
          <w:numId w:val="2"/>
        </w:numPr>
        <w:spacing w:after="80"/>
      </w:pPr>
      <w:r>
        <w:t>Datos de Yahoo Finance, con errores de la fuente documentados. No fue posible contrastarlos con precios oficiales de la BVC.</w:t>
      </w:r>
    </w:p>
    <w:p w14:paraId="59E0D947" w14:textId="77777777" w:rsidR="000139C7" w:rsidRDefault="002D77B1">
      <w:pPr>
        <w:pStyle w:val="Prrafodelista"/>
        <w:numPr>
          <w:ilvl w:val="0"/>
          <w:numId w:val="2"/>
        </w:numPr>
        <w:spacing w:after="80"/>
      </w:pPr>
      <w:r>
        <w:t>Un universo de nueve acciones, cinco de ellas ilíquidas. El índice COLCAP no estaba disponible en la fuente.</w:t>
      </w:r>
    </w:p>
    <w:p w14:paraId="21FC4C91" w14:textId="77777777" w:rsidR="000139C7" w:rsidRDefault="002D77B1">
      <w:pPr>
        <w:pStyle w:val="Prrafodelista"/>
        <w:numPr>
          <w:ilvl w:val="0"/>
          <w:numId w:val="2"/>
        </w:numPr>
        <w:spacing w:after="80"/>
      </w:pPr>
      <w:r>
        <w:t>Las pruebas tienen poca potencia en algunos casos, como la volatilidad semanal (unas 90 semanas) o el VaR al 99 %.</w:t>
      </w:r>
    </w:p>
    <w:p w14:paraId="67120CFF" w14:textId="77777777" w:rsidR="000139C7" w:rsidRDefault="002D77B1">
      <w:pPr>
        <w:pStyle w:val="Prrafodelista"/>
        <w:numPr>
          <w:ilvl w:val="0"/>
          <w:numId w:val="2"/>
        </w:numPr>
        <w:spacing w:after="80"/>
      </w:pPr>
      <w:r>
        <w:t>El análisis de robustez es exploratorio, porque usa datos de prueba ya vistos.</w:t>
      </w:r>
    </w:p>
    <w:p w14:paraId="3A8986ED" w14:textId="77777777" w:rsidR="000139C7" w:rsidRDefault="002D77B1">
      <w:pPr>
        <w:pStyle w:val="Ttulo2"/>
      </w:pPr>
      <w:bookmarkStart w:id="27" w:name="_Toc242139815"/>
      <w:r>
        <w:lastRenderedPageBreak/>
        <w:t>15.2 Trabajo futuro</w:t>
      </w:r>
      <w:bookmarkEnd w:id="27"/>
    </w:p>
    <w:p w14:paraId="490A0857" w14:textId="77777777" w:rsidR="000139C7" w:rsidRDefault="002D77B1">
      <w:pPr>
        <w:pStyle w:val="Prrafodelista"/>
        <w:numPr>
          <w:ilvl w:val="0"/>
          <w:numId w:val="2"/>
        </w:numPr>
        <w:spacing w:after="80"/>
      </w:pPr>
      <w:r>
        <w:t>Contrastar los datos con precios oficiales de la BVC.</w:t>
      </w:r>
    </w:p>
    <w:p w14:paraId="20EECE12" w14:textId="77777777" w:rsidR="000139C7" w:rsidRDefault="002D77B1">
      <w:pPr>
        <w:pStyle w:val="Prrafodelista"/>
        <w:numPr>
          <w:ilvl w:val="0"/>
          <w:numId w:val="2"/>
        </w:numPr>
        <w:spacing w:after="80"/>
      </w:pPr>
      <w:r>
        <w:t>Ampliar el universo de acciones e incluir el índice de mercado.</w:t>
      </w:r>
    </w:p>
    <w:p w14:paraId="04644190" w14:textId="77777777" w:rsidR="000139C7" w:rsidRDefault="002D77B1">
      <w:pPr>
        <w:pStyle w:val="Prrafodelista"/>
        <w:numPr>
          <w:ilvl w:val="0"/>
          <w:numId w:val="2"/>
        </w:numPr>
        <w:spacing w:after="80"/>
      </w:pPr>
      <w:r>
        <w:t>Estudiar el indicio de acierto direccional con pruebas que consideren la dependencia entre acciones.</w:t>
      </w:r>
    </w:p>
    <w:p w14:paraId="1533ED8F" w14:textId="77777777" w:rsidR="000139C7" w:rsidRDefault="002D77B1">
      <w:pPr>
        <w:pStyle w:val="Prrafodelista"/>
        <w:numPr>
          <w:ilvl w:val="0"/>
          <w:numId w:val="2"/>
        </w:numPr>
        <w:spacing w:after="80"/>
      </w:pPr>
      <w:r>
        <w:t>Evaluar el valor económico de los pronósticos de volatilidad semanal.</w:t>
      </w:r>
    </w:p>
    <w:p w14:paraId="042D3BED" w14:textId="77777777" w:rsidR="000139C7" w:rsidRDefault="002D77B1">
      <w:pPr>
        <w:pStyle w:val="Prrafodelista"/>
        <w:numPr>
          <w:ilvl w:val="0"/>
          <w:numId w:val="2"/>
        </w:numPr>
        <w:spacing w:after="80"/>
      </w:pPr>
      <w:r>
        <w:t>Repetir la evaluación del agente con varias ejecuciones por escenario.</w:t>
      </w:r>
    </w:p>
    <w:p w14:paraId="5660B6AF" w14:textId="77777777" w:rsidR="000139C7" w:rsidRDefault="002D77B1">
      <w:pPr>
        <w:pStyle w:val="Ttulo1"/>
      </w:pPr>
      <w:bookmarkStart w:id="28" w:name="_Toc242139816"/>
      <w:r>
        <w:t>Reproducibilidad</w:t>
      </w:r>
      <w:bookmarkEnd w:id="28"/>
    </w:p>
    <w:p w14:paraId="574D2B45" w14:textId="77777777" w:rsidR="000139C7" w:rsidRDefault="002D77B1">
      <w:pPr>
        <w:spacing w:after="160"/>
        <w:jc w:val="both"/>
      </w:pPr>
      <w:r>
        <w:t>El código, los datos crudos, las particiones con sus huellas, los resultados y el diario de decisiones están en el repositorio del proyecto, con versiones exactas de las dependencias. Una batería de 219 tests automáticos cubre, entre otros:</w:t>
      </w:r>
    </w:p>
    <w:p w14:paraId="4681CBC9" w14:textId="77777777" w:rsidR="000139C7" w:rsidRDefault="002D77B1">
      <w:pPr>
        <w:pStyle w:val="Prrafodelista"/>
        <w:numPr>
          <w:ilvl w:val="0"/>
          <w:numId w:val="2"/>
        </w:numPr>
        <w:spacing w:after="80"/>
      </w:pPr>
      <w:r>
        <w:t>la ausencia de fuga de información;</w:t>
      </w:r>
    </w:p>
    <w:p w14:paraId="7C73B010" w14:textId="77777777" w:rsidR="000139C7" w:rsidRDefault="002D77B1">
      <w:pPr>
        <w:pStyle w:val="Prrafodelista"/>
        <w:numPr>
          <w:ilvl w:val="0"/>
          <w:numId w:val="2"/>
        </w:numPr>
        <w:spacing w:after="80"/>
      </w:pPr>
      <w:r>
        <w:t>la protección de los datos crudos y del bloque de prueba;</w:t>
      </w:r>
    </w:p>
    <w:p w14:paraId="7D36520A" w14:textId="77777777" w:rsidR="000139C7" w:rsidRDefault="002D77B1">
      <w:pPr>
        <w:pStyle w:val="Prrafodelista"/>
        <w:numPr>
          <w:ilvl w:val="0"/>
          <w:numId w:val="2"/>
        </w:numPr>
        <w:spacing w:after="80"/>
      </w:pPr>
      <w:r>
        <w:t>los cálculos estadísticos frente a valores conocidos;</w:t>
      </w:r>
    </w:p>
    <w:p w14:paraId="27F65022" w14:textId="77777777" w:rsidR="000139C7" w:rsidRDefault="002D77B1">
      <w:pPr>
        <w:pStyle w:val="Prrafodelista"/>
        <w:numPr>
          <w:ilvl w:val="0"/>
          <w:numId w:val="2"/>
        </w:numPr>
        <w:spacing w:after="80"/>
      </w:pPr>
      <w:r>
        <w:t>la reproducibilidad de las fases.</w:t>
      </w:r>
    </w:p>
    <w:p w14:paraId="2F6CDDA0" w14:textId="77777777" w:rsidR="000139C7" w:rsidRDefault="002D77B1">
      <w:pPr>
        <w:spacing w:after="160"/>
        <w:jc w:val="both"/>
      </w:pPr>
      <w:r>
        <w:t xml:space="preserve">Cada cifra de este informe remite a una decisión del diario (DEC-xxx) y a un archivo de </w:t>
      </w:r>
      <w:r>
        <w:rPr>
          <w:rFonts w:ascii="Consolas" w:eastAsia="Consolas" w:hAnsi="Consolas" w:cs="Consolas"/>
          <w:sz w:val="20"/>
          <w:szCs w:val="20"/>
        </w:rPr>
        <w:t>resultados/</w:t>
      </w:r>
      <w:r>
        <w:t>.</w:t>
      </w:r>
    </w:p>
    <w:p w14:paraId="7E7F2295" w14:textId="77777777" w:rsidR="000139C7" w:rsidRDefault="002D77B1">
      <w:pPr>
        <w:pStyle w:val="Ttulo1"/>
      </w:pPr>
      <w:bookmarkStart w:id="29" w:name="_Toc242139817"/>
      <w:r>
        <w:t>Referencias</w:t>
      </w:r>
      <w:bookmarkEnd w:id="29"/>
    </w:p>
    <w:p w14:paraId="6E5E97B3" w14:textId="77777777" w:rsidR="000139C7" w:rsidRDefault="002D77B1">
      <w:pPr>
        <w:spacing w:after="100"/>
        <w:ind w:left="567" w:hanging="567"/>
      </w:pPr>
      <w:r>
        <w:rPr>
          <w:sz w:val="21"/>
          <w:szCs w:val="21"/>
        </w:rPr>
        <w:t xml:space="preserve">Barone-Adesi, G., Giannopoulos, K. y Vosper, L. (1999). VaR without correlations for portfolios of derivative securities. </w:t>
      </w:r>
      <w:r>
        <w:rPr>
          <w:i/>
          <w:iCs/>
          <w:sz w:val="21"/>
          <w:szCs w:val="21"/>
        </w:rPr>
        <w:t>Journal of Futures Markets</w:t>
      </w:r>
      <w:r>
        <w:rPr>
          <w:sz w:val="21"/>
          <w:szCs w:val="21"/>
        </w:rPr>
        <w:t>, 19(5), 583–602.</w:t>
      </w:r>
    </w:p>
    <w:p w14:paraId="3DEEABAF" w14:textId="77777777" w:rsidR="000139C7" w:rsidRDefault="002D77B1">
      <w:pPr>
        <w:spacing w:after="100"/>
        <w:ind w:left="567" w:hanging="567"/>
      </w:pPr>
      <w:r>
        <w:rPr>
          <w:sz w:val="21"/>
          <w:szCs w:val="21"/>
        </w:rPr>
        <w:t xml:space="preserve">Bollerslev, T. (1986). Generalized autoregressive conditional heteroskedasticity. </w:t>
      </w:r>
      <w:r>
        <w:rPr>
          <w:i/>
          <w:iCs/>
          <w:sz w:val="21"/>
          <w:szCs w:val="21"/>
        </w:rPr>
        <w:t>Journal of Econometrics</w:t>
      </w:r>
      <w:r>
        <w:rPr>
          <w:sz w:val="21"/>
          <w:szCs w:val="21"/>
        </w:rPr>
        <w:t>, 31(3), 307–327.</w:t>
      </w:r>
    </w:p>
    <w:p w14:paraId="083D2395" w14:textId="77777777" w:rsidR="000139C7" w:rsidRDefault="002D77B1">
      <w:pPr>
        <w:spacing w:after="100"/>
        <w:ind w:left="567" w:hanging="567"/>
      </w:pPr>
      <w:r>
        <w:rPr>
          <w:sz w:val="21"/>
          <w:szCs w:val="21"/>
        </w:rPr>
        <w:t xml:space="preserve">Breiman, L. (2001). Random forests. </w:t>
      </w:r>
      <w:r>
        <w:rPr>
          <w:i/>
          <w:iCs/>
          <w:sz w:val="21"/>
          <w:szCs w:val="21"/>
        </w:rPr>
        <w:t>Machine Learning</w:t>
      </w:r>
      <w:r>
        <w:rPr>
          <w:sz w:val="21"/>
          <w:szCs w:val="21"/>
        </w:rPr>
        <w:t>, 45(1), 5–32.</w:t>
      </w:r>
    </w:p>
    <w:p w14:paraId="2C8AB7CA" w14:textId="77777777" w:rsidR="000139C7" w:rsidRDefault="002D77B1">
      <w:pPr>
        <w:spacing w:after="100"/>
        <w:ind w:left="567" w:hanging="567"/>
      </w:pPr>
      <w:r>
        <w:rPr>
          <w:sz w:val="21"/>
          <w:szCs w:val="21"/>
        </w:rPr>
        <w:t xml:space="preserve">Campbell, J. Y. y Thompson, S. B. (2008). Predicting excess stock returns out of sample: Can anything beat the historical average? </w:t>
      </w:r>
      <w:r>
        <w:rPr>
          <w:i/>
          <w:iCs/>
          <w:sz w:val="21"/>
          <w:szCs w:val="21"/>
        </w:rPr>
        <w:t>Review of Financial Studies</w:t>
      </w:r>
      <w:r>
        <w:rPr>
          <w:sz w:val="21"/>
          <w:szCs w:val="21"/>
        </w:rPr>
        <w:t>, 21(4), 1509–1531.</w:t>
      </w:r>
    </w:p>
    <w:p w14:paraId="60B97DBF" w14:textId="77777777" w:rsidR="000139C7" w:rsidRDefault="002D77B1">
      <w:pPr>
        <w:spacing w:after="100"/>
        <w:ind w:left="567" w:hanging="567"/>
      </w:pPr>
      <w:r>
        <w:rPr>
          <w:sz w:val="21"/>
          <w:szCs w:val="21"/>
        </w:rPr>
        <w:t xml:space="preserve">Christoffersen, P. F. (1998). Evaluating interval forecasts. </w:t>
      </w:r>
      <w:r>
        <w:rPr>
          <w:i/>
          <w:iCs/>
          <w:sz w:val="21"/>
          <w:szCs w:val="21"/>
        </w:rPr>
        <w:t>International Economic Review</w:t>
      </w:r>
      <w:r>
        <w:rPr>
          <w:sz w:val="21"/>
          <w:szCs w:val="21"/>
        </w:rPr>
        <w:t>, 39(4), 841–862.</w:t>
      </w:r>
    </w:p>
    <w:p w14:paraId="4719FF86" w14:textId="77777777" w:rsidR="000139C7" w:rsidRDefault="002D77B1">
      <w:pPr>
        <w:spacing w:after="100"/>
        <w:ind w:left="567" w:hanging="567"/>
      </w:pPr>
      <w:r>
        <w:rPr>
          <w:sz w:val="21"/>
          <w:szCs w:val="21"/>
        </w:rPr>
        <w:t xml:space="preserve">Corsi, F. (2009). A simple approximate long-memory model of realized volatility. </w:t>
      </w:r>
      <w:r>
        <w:rPr>
          <w:i/>
          <w:iCs/>
          <w:sz w:val="21"/>
          <w:szCs w:val="21"/>
        </w:rPr>
        <w:t>Journal of Financial Econometrics</w:t>
      </w:r>
      <w:r>
        <w:rPr>
          <w:sz w:val="21"/>
          <w:szCs w:val="21"/>
        </w:rPr>
        <w:t>, 7(2), 174–196.</w:t>
      </w:r>
    </w:p>
    <w:p w14:paraId="4B6C8A2D" w14:textId="77777777" w:rsidR="000139C7" w:rsidRDefault="002D77B1">
      <w:pPr>
        <w:spacing w:after="100"/>
        <w:ind w:left="567" w:hanging="567"/>
      </w:pPr>
      <w:r>
        <w:rPr>
          <w:sz w:val="21"/>
          <w:szCs w:val="21"/>
        </w:rPr>
        <w:t xml:space="preserve">DeMiguel, V., Garlappi, L. y Uppal, R. (2009). Optimal versus naive diversification: How inefficient is the 1/N portfolio strategy? </w:t>
      </w:r>
      <w:r>
        <w:rPr>
          <w:i/>
          <w:iCs/>
          <w:sz w:val="21"/>
          <w:szCs w:val="21"/>
        </w:rPr>
        <w:t>Review of Financial Studies</w:t>
      </w:r>
      <w:r>
        <w:rPr>
          <w:sz w:val="21"/>
          <w:szCs w:val="21"/>
        </w:rPr>
        <w:t>, 22(5), 1915–1953.</w:t>
      </w:r>
    </w:p>
    <w:p w14:paraId="1DFDB9AA" w14:textId="77777777" w:rsidR="000139C7" w:rsidRDefault="002D77B1">
      <w:pPr>
        <w:spacing w:after="100"/>
        <w:ind w:left="567" w:hanging="567"/>
      </w:pPr>
      <w:r>
        <w:rPr>
          <w:sz w:val="21"/>
          <w:szCs w:val="21"/>
        </w:rPr>
        <w:t xml:space="preserve">Diebold, F. X. y Mariano, R. S. (1995). Comparing predictive accuracy. </w:t>
      </w:r>
      <w:r>
        <w:rPr>
          <w:i/>
          <w:iCs/>
          <w:sz w:val="21"/>
          <w:szCs w:val="21"/>
        </w:rPr>
        <w:t>Journal of Business &amp; Economic Statistics</w:t>
      </w:r>
      <w:r>
        <w:rPr>
          <w:sz w:val="21"/>
          <w:szCs w:val="21"/>
        </w:rPr>
        <w:t>, 13(3), 253–263.</w:t>
      </w:r>
    </w:p>
    <w:p w14:paraId="29C87604" w14:textId="77777777" w:rsidR="000139C7" w:rsidRDefault="002D77B1">
      <w:pPr>
        <w:spacing w:after="100"/>
        <w:ind w:left="567" w:hanging="567"/>
      </w:pPr>
      <w:r>
        <w:rPr>
          <w:sz w:val="21"/>
          <w:szCs w:val="21"/>
        </w:rPr>
        <w:t xml:space="preserve">Dimson, E. (1979). Risk measurement when shares are subject to infrequent trading. </w:t>
      </w:r>
      <w:r>
        <w:rPr>
          <w:i/>
          <w:iCs/>
          <w:sz w:val="21"/>
          <w:szCs w:val="21"/>
        </w:rPr>
        <w:t>Journal of Financial Economics</w:t>
      </w:r>
      <w:r>
        <w:rPr>
          <w:sz w:val="21"/>
          <w:szCs w:val="21"/>
        </w:rPr>
        <w:t>, 7(2), 197–226.</w:t>
      </w:r>
    </w:p>
    <w:p w14:paraId="0A644755" w14:textId="77777777" w:rsidR="000139C7" w:rsidRDefault="002D77B1">
      <w:pPr>
        <w:spacing w:after="100"/>
        <w:ind w:left="567" w:hanging="567"/>
      </w:pPr>
      <w:r>
        <w:rPr>
          <w:sz w:val="21"/>
          <w:szCs w:val="21"/>
        </w:rPr>
        <w:t xml:space="preserve">Friedman, J. H. (2001). Greedy function approximation: A gradient boosting machine. </w:t>
      </w:r>
      <w:r>
        <w:rPr>
          <w:i/>
          <w:iCs/>
          <w:sz w:val="21"/>
          <w:szCs w:val="21"/>
        </w:rPr>
        <w:t>Annals of Statistics</w:t>
      </w:r>
      <w:r>
        <w:rPr>
          <w:sz w:val="21"/>
          <w:szCs w:val="21"/>
        </w:rPr>
        <w:t>, 29(5), 1189–1232.</w:t>
      </w:r>
    </w:p>
    <w:p w14:paraId="44112D1E" w14:textId="77777777" w:rsidR="000139C7" w:rsidRDefault="002D77B1">
      <w:pPr>
        <w:spacing w:after="100"/>
        <w:ind w:left="567" w:hanging="567"/>
      </w:pPr>
      <w:r>
        <w:rPr>
          <w:sz w:val="21"/>
          <w:szCs w:val="21"/>
        </w:rPr>
        <w:lastRenderedPageBreak/>
        <w:t xml:space="preserve">Hansen, P. R., Lunde, A. y Nason, J. M. (2011). The model confidence set. </w:t>
      </w:r>
      <w:r>
        <w:rPr>
          <w:i/>
          <w:iCs/>
          <w:sz w:val="21"/>
          <w:szCs w:val="21"/>
        </w:rPr>
        <w:t>Econometrica</w:t>
      </w:r>
      <w:r>
        <w:rPr>
          <w:sz w:val="21"/>
          <w:szCs w:val="21"/>
        </w:rPr>
        <w:t>, 79(2), 453–497.</w:t>
      </w:r>
    </w:p>
    <w:p w14:paraId="61FCBC4D" w14:textId="77777777" w:rsidR="000139C7" w:rsidRDefault="002D77B1">
      <w:pPr>
        <w:spacing w:after="100"/>
        <w:ind w:left="567" w:hanging="567"/>
      </w:pPr>
      <w:r>
        <w:rPr>
          <w:sz w:val="21"/>
          <w:szCs w:val="21"/>
        </w:rPr>
        <w:t xml:space="preserve">Harvey, D., Leybourne, S. y Newbold, P. (1997). Testing the equality of prediction mean squared errors. </w:t>
      </w:r>
      <w:r>
        <w:rPr>
          <w:i/>
          <w:iCs/>
          <w:sz w:val="21"/>
          <w:szCs w:val="21"/>
        </w:rPr>
        <w:t>International Journal of Forecasting</w:t>
      </w:r>
      <w:r>
        <w:rPr>
          <w:sz w:val="21"/>
          <w:szCs w:val="21"/>
        </w:rPr>
        <w:t>, 13(2), 281–291.</w:t>
      </w:r>
    </w:p>
    <w:p w14:paraId="37D0BF19" w14:textId="77777777" w:rsidR="000139C7" w:rsidRDefault="002D77B1">
      <w:pPr>
        <w:spacing w:after="100"/>
        <w:ind w:left="567" w:hanging="567"/>
      </w:pPr>
      <w:r>
        <w:rPr>
          <w:sz w:val="21"/>
          <w:szCs w:val="21"/>
        </w:rPr>
        <w:t xml:space="preserve">Hochreiter, S. y Schmidhuber, J. (1997). Long short-term memory. </w:t>
      </w:r>
      <w:r>
        <w:rPr>
          <w:i/>
          <w:iCs/>
          <w:sz w:val="21"/>
          <w:szCs w:val="21"/>
        </w:rPr>
        <w:t>Neural Computation</w:t>
      </w:r>
      <w:r>
        <w:rPr>
          <w:sz w:val="21"/>
          <w:szCs w:val="21"/>
        </w:rPr>
        <w:t>, 9(8), 1735–1780.</w:t>
      </w:r>
    </w:p>
    <w:p w14:paraId="5E3FF5DA" w14:textId="77777777" w:rsidR="000139C7" w:rsidRDefault="002D77B1">
      <w:pPr>
        <w:spacing w:after="100"/>
        <w:ind w:left="567" w:hanging="567"/>
      </w:pPr>
      <w:r>
        <w:rPr>
          <w:sz w:val="21"/>
          <w:szCs w:val="21"/>
        </w:rPr>
        <w:t xml:space="preserve">Holm, S. (1979). A simple sequentially rejective multiple test procedure. </w:t>
      </w:r>
      <w:r>
        <w:rPr>
          <w:i/>
          <w:iCs/>
          <w:sz w:val="21"/>
          <w:szCs w:val="21"/>
        </w:rPr>
        <w:t>Scandinavian Journal of Statistics</w:t>
      </w:r>
      <w:r>
        <w:rPr>
          <w:sz w:val="21"/>
          <w:szCs w:val="21"/>
        </w:rPr>
        <w:t>, 6(2), 65–70.</w:t>
      </w:r>
    </w:p>
    <w:p w14:paraId="56C788E1" w14:textId="77777777" w:rsidR="000139C7" w:rsidRDefault="002D77B1">
      <w:pPr>
        <w:spacing w:after="100"/>
        <w:ind w:left="567" w:hanging="567"/>
      </w:pPr>
      <w:r>
        <w:rPr>
          <w:sz w:val="21"/>
          <w:szCs w:val="21"/>
        </w:rPr>
        <w:t xml:space="preserve">J.P. Morgan/Reuters (1996). </w:t>
      </w:r>
      <w:r>
        <w:rPr>
          <w:i/>
          <w:iCs/>
          <w:sz w:val="21"/>
          <w:szCs w:val="21"/>
        </w:rPr>
        <w:t>RiskMetrics — Technical Document</w:t>
      </w:r>
      <w:r>
        <w:rPr>
          <w:sz w:val="21"/>
          <w:szCs w:val="21"/>
        </w:rPr>
        <w:t xml:space="preserve"> (4.ª ed.).</w:t>
      </w:r>
    </w:p>
    <w:p w14:paraId="3FDB1407" w14:textId="77777777" w:rsidR="000139C7" w:rsidRDefault="002D77B1">
      <w:pPr>
        <w:spacing w:after="100"/>
        <w:ind w:left="567" w:hanging="567"/>
      </w:pPr>
      <w:r>
        <w:rPr>
          <w:sz w:val="21"/>
          <w:szCs w:val="21"/>
        </w:rPr>
        <w:t xml:space="preserve">Kalman, R. E. (1960). A new approach to linear filtering and prediction problems. </w:t>
      </w:r>
      <w:r>
        <w:rPr>
          <w:i/>
          <w:iCs/>
          <w:sz w:val="21"/>
          <w:szCs w:val="21"/>
        </w:rPr>
        <w:t>Journal of Basic Engineering</w:t>
      </w:r>
      <w:r>
        <w:rPr>
          <w:sz w:val="21"/>
          <w:szCs w:val="21"/>
        </w:rPr>
        <w:t>, 82(1), 35–45.</w:t>
      </w:r>
    </w:p>
    <w:p w14:paraId="529C26C9" w14:textId="77777777" w:rsidR="000139C7" w:rsidRDefault="002D77B1">
      <w:pPr>
        <w:spacing w:after="100"/>
        <w:ind w:left="567" w:hanging="567"/>
      </w:pPr>
      <w:r>
        <w:rPr>
          <w:sz w:val="21"/>
          <w:szCs w:val="21"/>
        </w:rPr>
        <w:t xml:space="preserve">Kupiec, P. H. (1995). Techniques for verifying the accuracy of risk measurement models. </w:t>
      </w:r>
      <w:r>
        <w:rPr>
          <w:i/>
          <w:iCs/>
          <w:sz w:val="21"/>
          <w:szCs w:val="21"/>
        </w:rPr>
        <w:t>Journal of Derivatives</w:t>
      </w:r>
      <w:r>
        <w:rPr>
          <w:sz w:val="21"/>
          <w:szCs w:val="21"/>
        </w:rPr>
        <w:t>, 3(2), 73–84.</w:t>
      </w:r>
    </w:p>
    <w:p w14:paraId="4B88C97B" w14:textId="77777777" w:rsidR="000139C7" w:rsidRDefault="002D77B1">
      <w:pPr>
        <w:spacing w:after="100"/>
        <w:ind w:left="567" w:hanging="567"/>
      </w:pPr>
      <w:r>
        <w:rPr>
          <w:sz w:val="21"/>
          <w:szCs w:val="21"/>
        </w:rPr>
        <w:t xml:space="preserve">Ledoit, O. y Wolf, M. (2004). A well-conditioned estimator for large-dimensional covariance matrices. </w:t>
      </w:r>
      <w:r>
        <w:rPr>
          <w:i/>
          <w:iCs/>
          <w:sz w:val="21"/>
          <w:szCs w:val="21"/>
        </w:rPr>
        <w:t>Journal of Multivariate Analysis</w:t>
      </w:r>
      <w:r>
        <w:rPr>
          <w:sz w:val="21"/>
          <w:szCs w:val="21"/>
        </w:rPr>
        <w:t>, 88(2), 365–411.</w:t>
      </w:r>
    </w:p>
    <w:p w14:paraId="59A65311" w14:textId="77777777" w:rsidR="000139C7" w:rsidRDefault="002D77B1">
      <w:pPr>
        <w:spacing w:after="100"/>
        <w:ind w:left="567" w:hanging="567"/>
      </w:pPr>
      <w:r>
        <w:rPr>
          <w:sz w:val="21"/>
          <w:szCs w:val="21"/>
        </w:rPr>
        <w:t xml:space="preserve">Markowitz, H. (1952). Portfolio selection. </w:t>
      </w:r>
      <w:r>
        <w:rPr>
          <w:i/>
          <w:iCs/>
          <w:sz w:val="21"/>
          <w:szCs w:val="21"/>
        </w:rPr>
        <w:t>Journal of Finance</w:t>
      </w:r>
      <w:r>
        <w:rPr>
          <w:sz w:val="21"/>
          <w:szCs w:val="21"/>
        </w:rPr>
        <w:t>, 7(1), 77–91.</w:t>
      </w:r>
    </w:p>
    <w:p w14:paraId="5CCD95C8" w14:textId="77777777" w:rsidR="000139C7" w:rsidRDefault="002D77B1">
      <w:pPr>
        <w:spacing w:after="100"/>
        <w:ind w:left="567" w:hanging="567"/>
      </w:pPr>
      <w:r>
        <w:rPr>
          <w:sz w:val="21"/>
          <w:szCs w:val="21"/>
        </w:rPr>
        <w:t xml:space="preserve">Patton, A. J. (2011). Volatility forecast comparison using imperfect volatility proxies. </w:t>
      </w:r>
      <w:r>
        <w:rPr>
          <w:i/>
          <w:iCs/>
          <w:sz w:val="21"/>
          <w:szCs w:val="21"/>
        </w:rPr>
        <w:t>Journal of Econometrics</w:t>
      </w:r>
      <w:r>
        <w:rPr>
          <w:sz w:val="21"/>
          <w:szCs w:val="21"/>
        </w:rPr>
        <w:t>, 160(1), 246–256.</w:t>
      </w:r>
    </w:p>
    <w:p w14:paraId="55F7F4FE" w14:textId="77777777" w:rsidR="000139C7" w:rsidRDefault="002D77B1">
      <w:pPr>
        <w:spacing w:after="100"/>
        <w:ind w:left="567" w:hanging="567"/>
      </w:pPr>
      <w:r>
        <w:rPr>
          <w:sz w:val="21"/>
          <w:szCs w:val="21"/>
        </w:rPr>
        <w:t xml:space="preserve">Pesaran, M. H. y Timmermann, A. (1992). A simple nonparametric test of predictive performance. </w:t>
      </w:r>
      <w:r>
        <w:rPr>
          <w:i/>
          <w:iCs/>
          <w:sz w:val="21"/>
          <w:szCs w:val="21"/>
        </w:rPr>
        <w:t>Journal of Business &amp; Economic Statistics</w:t>
      </w:r>
      <w:r>
        <w:rPr>
          <w:sz w:val="21"/>
          <w:szCs w:val="21"/>
        </w:rPr>
        <w:t>, 10(4), 461–465.</w:t>
      </w:r>
    </w:p>
    <w:p w14:paraId="247E9E39" w14:textId="77777777" w:rsidR="000139C7" w:rsidRDefault="002D77B1">
      <w:pPr>
        <w:spacing w:after="100"/>
        <w:ind w:left="567" w:hanging="567"/>
      </w:pPr>
      <w:r>
        <w:rPr>
          <w:sz w:val="21"/>
          <w:szCs w:val="21"/>
        </w:rPr>
        <w:t xml:space="preserve">Rockafellar, R. T. y Uryasev, S. (2000). Optimization of conditional value-at-risk. </w:t>
      </w:r>
      <w:r>
        <w:rPr>
          <w:i/>
          <w:iCs/>
          <w:sz w:val="21"/>
          <w:szCs w:val="21"/>
        </w:rPr>
        <w:t>Journal of Risk</w:t>
      </w:r>
      <w:r>
        <w:rPr>
          <w:sz w:val="21"/>
          <w:szCs w:val="21"/>
        </w:rPr>
        <w:t>, 2(3), 21–41.</w:t>
      </w:r>
    </w:p>
    <w:p w14:paraId="2888C467" w14:textId="77777777" w:rsidR="000139C7" w:rsidRDefault="002D77B1">
      <w:pPr>
        <w:spacing w:after="100"/>
        <w:ind w:left="567" w:hanging="567"/>
      </w:pPr>
      <w:r>
        <w:rPr>
          <w:sz w:val="21"/>
          <w:szCs w:val="21"/>
        </w:rPr>
        <w:t xml:space="preserve">Roll, R. (1984). A simple implicit measure of the effective bid-ask spread in an efficient market. </w:t>
      </w:r>
      <w:r>
        <w:rPr>
          <w:i/>
          <w:iCs/>
          <w:sz w:val="21"/>
          <w:szCs w:val="21"/>
        </w:rPr>
        <w:t>Journal of Finance</w:t>
      </w:r>
      <w:r>
        <w:rPr>
          <w:sz w:val="21"/>
          <w:szCs w:val="21"/>
        </w:rPr>
        <w:t>, 39(4), 1127–1139.</w:t>
      </w:r>
    </w:p>
    <w:sectPr w:rsidR="000139C7">
      <w:footerReference w:type="default" r:id="rId17"/>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F39A6" w14:textId="77777777" w:rsidR="002D77B1" w:rsidRDefault="002D77B1">
      <w:pPr>
        <w:spacing w:line="240" w:lineRule="auto"/>
      </w:pPr>
      <w:r>
        <w:separator/>
      </w:r>
    </w:p>
  </w:endnote>
  <w:endnote w:type="continuationSeparator" w:id="0">
    <w:p w14:paraId="7DCEB73D" w14:textId="77777777" w:rsidR="002D77B1" w:rsidRDefault="002D77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5918C" w14:textId="77777777" w:rsidR="000139C7" w:rsidRDefault="002D77B1">
    <w:pPr>
      <w:jc w:val="center"/>
    </w:pPr>
    <w:r>
      <w:rPr>
        <w:sz w:val="18"/>
        <w:szCs w:val="18"/>
      </w:rPr>
      <w:fldChar w:fldCharType="begin"/>
    </w:r>
    <w:r>
      <w:rPr>
        <w:sz w:val="18"/>
        <w:szCs w:val="18"/>
      </w:rPr>
      <w:instrText>PAGE</w:instrText>
    </w:r>
    <w:r>
      <w:rPr>
        <w:sz w:val="18"/>
        <w:szCs w:val="18"/>
      </w:rPr>
      <w:fldChar w:fldCharType="separate"/>
    </w:r>
    <w:r w:rsidR="00B22FF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6E336" w14:textId="77777777" w:rsidR="002D77B1" w:rsidRDefault="002D77B1">
      <w:pPr>
        <w:spacing w:line="240" w:lineRule="auto"/>
      </w:pPr>
      <w:r>
        <w:separator/>
      </w:r>
    </w:p>
  </w:footnote>
  <w:footnote w:type="continuationSeparator" w:id="0">
    <w:p w14:paraId="0F12EC27" w14:textId="77777777" w:rsidR="002D77B1" w:rsidRDefault="002D77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42EFF"/>
    <w:multiLevelType w:val="hybridMultilevel"/>
    <w:tmpl w:val="2C181BB4"/>
    <w:lvl w:ilvl="0" w:tplc="3100293C" w:tentative="1">
      <w:start w:val="1"/>
      <w:numFmt w:val="bullet"/>
      <w:lvlText w:val="●"/>
      <w:lvlJc w:val="left"/>
      <w:pPr>
        <w:ind w:left="720" w:hanging="360"/>
      </w:pPr>
    </w:lvl>
    <w:lvl w:ilvl="1" w:tplc="6B006FD6" w:tentative="1">
      <w:start w:val="1"/>
      <w:numFmt w:val="bullet"/>
      <w:lvlText w:val="○"/>
      <w:lvlJc w:val="left"/>
      <w:pPr>
        <w:ind w:left="1440" w:hanging="360"/>
      </w:pPr>
    </w:lvl>
    <w:lvl w:ilvl="2" w:tplc="D174F288" w:tentative="1">
      <w:start w:val="1"/>
      <w:numFmt w:val="bullet"/>
      <w:lvlText w:val="■"/>
      <w:lvlJc w:val="left"/>
      <w:pPr>
        <w:ind w:left="2160" w:hanging="360"/>
      </w:pPr>
    </w:lvl>
    <w:lvl w:ilvl="3" w:tplc="0D480784" w:tentative="1">
      <w:start w:val="1"/>
      <w:numFmt w:val="bullet"/>
      <w:lvlText w:val="●"/>
      <w:lvlJc w:val="left"/>
      <w:pPr>
        <w:ind w:left="2880" w:hanging="360"/>
      </w:pPr>
    </w:lvl>
    <w:lvl w:ilvl="4" w:tplc="98126BD0" w:tentative="1">
      <w:start w:val="1"/>
      <w:numFmt w:val="bullet"/>
      <w:lvlText w:val="○"/>
      <w:lvlJc w:val="left"/>
      <w:pPr>
        <w:ind w:left="3600" w:hanging="360"/>
      </w:pPr>
    </w:lvl>
    <w:lvl w:ilvl="5" w:tplc="9B7A0A42" w:tentative="1">
      <w:start w:val="1"/>
      <w:numFmt w:val="bullet"/>
      <w:lvlText w:val="■"/>
      <w:lvlJc w:val="left"/>
      <w:pPr>
        <w:ind w:left="4320" w:hanging="360"/>
      </w:pPr>
    </w:lvl>
    <w:lvl w:ilvl="6" w:tplc="EDEADFEC" w:tentative="1">
      <w:start w:val="1"/>
      <w:numFmt w:val="bullet"/>
      <w:lvlText w:val="●"/>
      <w:lvlJc w:val="left"/>
      <w:pPr>
        <w:ind w:left="5040" w:hanging="360"/>
      </w:pPr>
    </w:lvl>
    <w:lvl w:ilvl="7" w:tplc="1C345974" w:tentative="1">
      <w:start w:val="1"/>
      <w:numFmt w:val="bullet"/>
      <w:lvlText w:val="●"/>
      <w:lvlJc w:val="left"/>
      <w:pPr>
        <w:ind w:left="5760" w:hanging="360"/>
      </w:pPr>
    </w:lvl>
    <w:lvl w:ilvl="8" w:tplc="320C604C" w:tentative="1">
      <w:start w:val="1"/>
      <w:numFmt w:val="bullet"/>
      <w:lvlText w:val="●"/>
      <w:lvlJc w:val="left"/>
      <w:pPr>
        <w:ind w:left="6480" w:hanging="360"/>
      </w:pPr>
    </w:lvl>
  </w:abstractNum>
  <w:abstractNum w:abstractNumId="1" w15:restartNumberingAfterBreak="0">
    <w:nsid w:val="2DC92265"/>
    <w:multiLevelType w:val="hybridMultilevel"/>
    <w:tmpl w:val="81A89B04"/>
    <w:lvl w:ilvl="0" w:tplc="524E0C20">
      <w:start w:val="1"/>
      <w:numFmt w:val="bullet"/>
      <w:lvlText w:val="•"/>
      <w:lvlJc w:val="left"/>
      <w:pPr>
        <w:ind w:left="567" w:hanging="283"/>
      </w:pPr>
    </w:lvl>
    <w:lvl w:ilvl="1" w:tplc="7EE453DE">
      <w:start w:val="1"/>
      <w:numFmt w:val="bullet"/>
      <w:lvlText w:val="–"/>
      <w:lvlJc w:val="left"/>
      <w:pPr>
        <w:ind w:left="1134" w:hanging="283"/>
      </w:pPr>
    </w:lvl>
    <w:lvl w:ilvl="2" w:tplc="BEA8A58A">
      <w:numFmt w:val="decimal"/>
      <w:lvlText w:val=""/>
      <w:lvlJc w:val="left"/>
    </w:lvl>
    <w:lvl w:ilvl="3" w:tplc="442E2C80">
      <w:numFmt w:val="decimal"/>
      <w:lvlText w:val=""/>
      <w:lvlJc w:val="left"/>
    </w:lvl>
    <w:lvl w:ilvl="4" w:tplc="9BBACFD4">
      <w:numFmt w:val="decimal"/>
      <w:lvlText w:val=""/>
      <w:lvlJc w:val="left"/>
    </w:lvl>
    <w:lvl w:ilvl="5" w:tplc="B3F65BB0">
      <w:numFmt w:val="decimal"/>
      <w:lvlText w:val=""/>
      <w:lvlJc w:val="left"/>
    </w:lvl>
    <w:lvl w:ilvl="6" w:tplc="F334945E">
      <w:numFmt w:val="decimal"/>
      <w:lvlText w:val=""/>
      <w:lvlJc w:val="left"/>
    </w:lvl>
    <w:lvl w:ilvl="7" w:tplc="44EC75B6">
      <w:numFmt w:val="decimal"/>
      <w:lvlText w:val=""/>
      <w:lvlJc w:val="left"/>
    </w:lvl>
    <w:lvl w:ilvl="8" w:tplc="43D48086">
      <w:numFmt w:val="decimal"/>
      <w:lvlText w:val=""/>
      <w:lvlJc w:val="left"/>
    </w:lvl>
  </w:abstractNum>
  <w:num w:numId="1" w16cid:durableId="1707949442">
    <w:abstractNumId w:val="0"/>
    <w:lvlOverride w:ilvl="0">
      <w:startOverride w:val="1"/>
    </w:lvlOverride>
  </w:num>
  <w:num w:numId="2" w16cid:durableId="4478993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9C7"/>
    <w:rsid w:val="000139C7"/>
    <w:rsid w:val="002D77B1"/>
    <w:rsid w:val="00B22FFC"/>
    <w:rsid w:val="00C279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404709"/>
  <w15:docId w15:val="{BAA29E4F-2246-42CD-83CC-5B84B74DC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60"/>
      <w:outlineLvl w:val="0"/>
    </w:pPr>
    <w:rPr>
      <w:b/>
      <w:bCs/>
      <w:color w:val="1F3864"/>
      <w:sz w:val="30"/>
      <w:szCs w:val="30"/>
    </w:rPr>
  </w:style>
  <w:style w:type="paragraph" w:styleId="Ttulo2">
    <w:name w:val="heading 2"/>
    <w:basedOn w:val="Normal"/>
    <w:next w:val="Normal"/>
    <w:uiPriority w:val="9"/>
    <w:unhideWhenUsed/>
    <w:qFormat/>
    <w:pPr>
      <w:keepNext/>
      <w:spacing w:before="240" w:after="120"/>
      <w:outlineLvl w:val="1"/>
    </w:pPr>
    <w:rPr>
      <w:b/>
      <w:bCs/>
      <w:color w:val="2E5597"/>
      <w:sz w:val="25"/>
      <w:szCs w:val="25"/>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22FFC"/>
    <w:pPr>
      <w:spacing w:after="100"/>
    </w:pPr>
  </w:style>
  <w:style w:type="paragraph" w:styleId="TDC2">
    <w:name w:val="toc 2"/>
    <w:basedOn w:val="Normal"/>
    <w:next w:val="Normal"/>
    <w:autoRedefine/>
    <w:uiPriority w:val="39"/>
    <w:unhideWhenUsed/>
    <w:rsid w:val="00B22FF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5726</Words>
  <Characters>30110</Characters>
  <Application>Microsoft Office Word</Application>
  <DocSecurity>0</DocSecurity>
  <Lines>781</Lines>
  <Paragraphs>491</Paragraphs>
  <ScaleCrop>false</ScaleCrop>
  <Company/>
  <LinksUpToDate>false</LinksUpToDate>
  <CharactersWithSpaces>35396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 Portafolio Colombiano</dc:title>
  <dc:creator>Gabriel Aldana, Harold Fúneme, Laura Rodríguez, Juan Roa</dc:creator>
  <cp:lastModifiedBy>Gabriel Aldana</cp:lastModifiedBy>
  <cp:revision>3</cp:revision>
  <dcterms:created xsi:type="dcterms:W3CDTF">2026-10-06T05:42:00Z</dcterms:created>
  <dcterms:modified xsi:type="dcterms:W3CDTF">2026-10-06T05:42:00Z</dcterms:modified>
</cp:coreProperties>
</file>