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14-10-2020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Desconocido fuera del alcance de soporte</w:t>
      </w:r>
    </w:p>
    <w:p>
      <w:r>
        <w:t>Incident description: El perfil configurado de la sonda tiene un tiempo definido en el cual la sonda debe concluir la tarea de lo contrario la tarea termina fallida con el mensaje time out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realiza las tareas en el tiempo definido.</w:t>
      </w:r>
    </w:p>
    <w:p>
      <w:r>
        <w:t>Workaround: Validar internamente las velocidades de trasmision con el area de redes</w:t>
      </w:r>
    </w:p>
    <w:p>
      <w:r>
        <w:t>Recommendation: Validar internamente las velocidades de trasmision con el area de redes.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Desconocido fuera del alcance de soporte</w:t>
      </w:r>
    </w:p>
    <w:p>
      <w:r>
        <w:t>Incident description: El perfil configurado de la sonda tiene un tiempo definido en el cual la sonda debe concluir la tarea de lo contrario la tarea termina fallida con el mensaje time out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realiza las tareas en el tiempo definido.</w:t>
      </w:r>
    </w:p>
    <w:p>
      <w:r>
        <w:t>Workaround: Validar internamente las velocidades de trasmision con el area de redes</w:t>
      </w:r>
    </w:p>
    <w:p>
      <w:r>
        <w:t>Recommendation: Validar internamente las velocidades de trasmision con el area de redes.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