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22-10-2020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Desincronización entre la sonda y la red.</w:t>
      </w:r>
    </w:p>
    <w:p>
      <w:r>
        <w:t>Incident description: Cuando se presenta el error, la sonda no es capaz de recuperarse.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Se presenta una desincronización.</w:t>
      </w:r>
    </w:p>
    <w:p>
      <w:r>
        <w:t>Workaround: Es posible que con un reinicio la sonda se recupere, sin embargo se aplica un fix.</w:t>
      </w:r>
    </w:p>
    <w:p>
      <w:r>
        <w:t>Recommendation: NA.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Desconocido, posible desgaste natural o un ambiente no apropiado.</w:t>
      </w:r>
    </w:p>
    <w:p>
      <w:r>
        <w:t>Incident description: Cuando se presenta un fallo en la SIM, se observa un mensaje de error como este ERROR: SIM failure.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La sim falla y la sonda no logra establecer conexión a la red.</w:t>
      </w:r>
    </w:p>
    <w:p>
      <w:r>
        <w:t>Workaround: Generalmente luego de un tiempo la sonda se recupera, sin embargo se ha aplicado un fix el cual ayuda a mitigar este error.</w:t>
      </w:r>
    </w:p>
    <w:p>
      <w:r>
        <w:t>Recommendation: En caso de que el issue se presente constantemente, se recomienda hacer un cambio de SIM CARD.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