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Login: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poderá fazer o login para se autenticar e começar a realizar as operações.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Ao se des-autenticar da conta ou ao iniciar o caixa eletrônico.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/>
      </w:pPr>
      <w:bookmarkStart w:id="0" w:name="_GoBack"/>
      <w:bookmarkEnd w:id="0"/>
      <w:r>
        <w:rPr/>
        <w:drawing>
          <wp:inline distT="0" distB="127000" distL="0" distR="0">
            <wp:extent cx="7677150" cy="432816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Menu principal: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poderá acessar as principais telas apartir dessa, tão como mudar a língua do programa.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Heading1"/>
        <w:rPr>
          <w:bCs/>
          <w:lang w:val="pt-BR"/>
        </w:rPr>
      </w:pPr>
      <w:r>
        <w:rPr>
          <w:bCs/>
          <w:lang w:val="pt-BR"/>
        </w:rPr>
        <w:t>Quase todas as telas podem voltar para essa tela apartir do botão “voltar” ou “cancelar”.</w:t>
        <w:br/>
        <w:t>Será acessada instantâneamente essa tela caso o login tenha sucesso.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Heading1"/>
        <w:rPr/>
      </w:pPr>
      <w:r>
        <w:rPr/>
        <w:drawing>
          <wp:inline distT="0" distB="127000" distL="0" distR="0">
            <wp:extent cx="7687945" cy="432816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Saque: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escolherá quanto deseja sacar, voltar para o menu principal ou ir para a tela de saque de valor não pré definido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Menu Principal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spacing w:before="240" w:after="200"/>
        <w:ind w:left="0" w:hanging="0"/>
        <w:jc w:val="center"/>
        <w:rPr/>
      </w:pPr>
      <w:r>
        <w:rPr/>
        <w:drawing>
          <wp:inline distT="0" distB="127000" distL="0" distR="0">
            <wp:extent cx="7687945" cy="432816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Saque de valor não pré-definido: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escolherá quanto deseja sacar especificando manualmente um valor, ou voltar para o menu principal.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Saque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lang w:val="pt-BR"/>
        </w:rPr>
      </w:pPr>
      <w:r>
        <w:rPr/>
        <w:drawing>
          <wp:inline distT="0" distB="127000" distL="0" distR="0">
            <wp:extent cx="7687945" cy="432816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Confirmação de Saque: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confirmará se realmente deseja sacar o valor escolhido anteriormente ao digitar seu código de acesso ou voltar ao menu principal.</w:t>
      </w:r>
    </w:p>
    <w:p>
      <w:pPr>
        <w:pStyle w:val="Normal"/>
        <w:jc w:val="center"/>
        <w:rPr/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Saque ou Saque de valor não pré-definido.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/>
      </w:pPr>
      <w:r>
        <w:rPr/>
        <w:drawing>
          <wp:inline distT="0" distB="127000" distL="0" distR="0">
            <wp:extent cx="7687945" cy="432816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Saldo: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poderá ver e imprimir seu saldo do dia atual, tão como acessar o extrato caso deseja informações mais detalhadas.</w:t>
      </w:r>
    </w:p>
    <w:p>
      <w:pPr>
        <w:pStyle w:val="Normal"/>
        <w:jc w:val="center"/>
        <w:rPr/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Menu Principal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lang w:val="pt-BR"/>
        </w:rPr>
      </w:pPr>
      <w:r>
        <w:rPr/>
        <w:drawing>
          <wp:inline distT="0" distB="127000" distL="0" distR="0">
            <wp:extent cx="7687945" cy="432816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Transferência: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escolherá a quantia e a conta para qual deseja transferir o dinheiro.</w:t>
      </w:r>
    </w:p>
    <w:p>
      <w:pPr>
        <w:pStyle w:val="Normal"/>
        <w:jc w:val="center"/>
        <w:rPr/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Menu Principal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00000A"/>
          <w:sz w:val="22"/>
          <w:szCs w:val="22"/>
          <w:lang w:val="pt-BR"/>
        </w:rPr>
      </w:pPr>
      <w:r>
        <w:rPr/>
        <w:drawing>
          <wp:inline distT="0" distB="127000" distL="0" distR="0">
            <wp:extent cx="7687945" cy="4317365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Confirmação de transferência: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Será exibido a quantia entrada na tela Transferência e o nome do dono da conta entrada na tela Transferência. O usuário deverá entrar com seu código de acesso para continuar.</w:t>
      </w:r>
    </w:p>
    <w:p>
      <w:pPr>
        <w:pStyle w:val="Normal"/>
        <w:jc w:val="center"/>
        <w:rPr/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Transferência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lang w:val="pt-BR"/>
        </w:rPr>
      </w:pPr>
      <w:r>
        <w:rPr/>
        <w:drawing>
          <wp:inline distT="0" distB="127000" distL="0" distR="0">
            <wp:extent cx="7687945" cy="432816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Período do extrato: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deverá escolher qual período deseja ver no extrato.</w:t>
      </w:r>
    </w:p>
    <w:p>
      <w:pPr>
        <w:pStyle w:val="Normal"/>
        <w:jc w:val="center"/>
        <w:rPr/>
      </w:pPr>
      <w:r>
        <w:rPr>
          <w:rStyle w:val="Heading2Char"/>
          <w:lang w:val="pt-BR"/>
        </w:rPr>
        <w:t>Pode ser acessada a 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Menu principal, Saldo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lang w:val="pt-BR"/>
        </w:rPr>
      </w:pPr>
      <w:r>
        <w:rPr/>
        <w:drawing>
          <wp:inline distT="0" distB="127000" distL="0" distR="0">
            <wp:extent cx="7687945" cy="432816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Extrato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Será exibido o extrato do período selecionado em “Período do extrato”.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Período do extrato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lang w:val="pt-BR"/>
        </w:rPr>
      </w:pPr>
      <w:r>
        <w:rPr/>
        <w:drawing>
          <wp:inline distT="0" distB="0" distL="0" distR="0">
            <wp:extent cx="7680960" cy="4325620"/>
            <wp:effectExtent l="0" t="0" r="0" b="0"/>
            <wp:docPr id="10" name="Picture 3" descr="C:\Users\Gustavo\AppData\Local\Microsoft\Windows\INetCache\Content.Word\2015-04-23 14_47_14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Gustavo\AppData\Local\Microsoft\Windows\INetCache\Content.Word\2015-04-23 14_47_14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Cadastrar débito automático: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O usuário podera inserir o código da operadora, o seu código de consumidor e o dia do mês em que a conta será debitada.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Menu principal.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ind w:left="0" w:hanging="0"/>
        <w:jc w:val="center"/>
        <w:rPr>
          <w:rStyle w:val="Heading2Char"/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00000A"/>
          <w:sz w:val="22"/>
          <w:szCs w:val="22"/>
          <w:lang w:val="pt-BR"/>
        </w:rPr>
      </w:pPr>
      <w:r>
        <w:rPr/>
        <w:drawing>
          <wp:inline distT="0" distB="0" distL="0" distR="0">
            <wp:extent cx="7680960" cy="4325620"/>
            <wp:effectExtent l="0" t="0" r="0" b="0"/>
            <wp:docPr id="11" name="Picture 2" descr="C:\Users\Gustavo\AppData\Local\Microsoft\Windows\INetCache\Content.Word\2015-04-23 14_47_17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:\Users\Gustavo\AppData\Local\Microsoft\Windows\INetCache\Content.Word\2015-04-23 14_47_17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Confirmar débito automático: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Será exibido o nome da operadora obtido através do código da operadora e o dia selecionado para que o usuário possa confirmar a operação.</w:t>
      </w:r>
    </w:p>
    <w:p>
      <w:pPr>
        <w:pStyle w:val="Normal"/>
        <w:jc w:val="center"/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  <w:t>Cadastrar débito automático.</w:t>
      </w:r>
    </w:p>
    <w:p>
      <w:pPr>
        <w:pStyle w:val="Normal"/>
        <w:jc w:val="center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widowControl/>
        <w:bidi w:val="0"/>
        <w:spacing w:before="0" w:after="200"/>
        <w:ind w:left="0" w:right="0" w:hanging="0"/>
        <w:jc w:val="center"/>
        <w:rPr/>
      </w:pPr>
      <w:r>
        <w:rPr/>
        <w:drawing>
          <wp:inline distT="0" distB="0" distL="0" distR="0">
            <wp:extent cx="7748270" cy="4325620"/>
            <wp:effectExtent l="0" t="0" r="0" b="0"/>
            <wp:docPr id="12" name="Picture 1" descr="C:\Users\Gustavo\AppData\Local\Microsoft\Windows\INetCache\Content.Word\2015-04-23 14_47_19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Users\Gustavo\AppData\Local\Microsoft\Windows\INetCache\Content.Word\2015-04-23 14_47_19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27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c5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5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5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6528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2c5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82c5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82c5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65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c5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9D19-BCEC-44FA-B935-7C54FEFF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Application>LibreOffice/4.4.2.2$Linux_X86_64 LibreOffice_project/40m0$Build-2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2015-04-23T17:48:00Z</dcterms:created>
  <dc:creator>Gustavo</dc:creator>
  <dc:language>pt-BR</dc:language>
  <dcterms:modified xsi:type="dcterms:W3CDTF">2015-09-09T22:05:55Z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