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3.</w:t>
      </w:r>
    </w:p>
    <w:p w:rsidR="00000000" w:rsidDel="00000000" w:rsidP="00000000" w:rsidRDefault="00000000" w:rsidRPr="00000000" w14:paraId="00000001">
      <w:pPr>
        <w:ind w:firstLine="708"/>
        <w:contextualSpacing w:val="0"/>
        <w:rPr/>
      </w:pPr>
      <w:r w:rsidDel="00000000" w:rsidR="00000000" w:rsidRPr="00000000">
        <w:rPr>
          <w:rtl w:val="0"/>
        </w:rPr>
        <w:t xml:space="preserve">b.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habilitada es una entidad que debe ser persistente debido a que en ella aparecerá la información de los usuarios de la aplicación que consumen las ofertas generadas por los diferentes operadores.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 es una entidad que debe ser persistente debido a que en ella se almacena la relación entre una oferta y una persona habilitada que la consume, esta se convertiría en una de las clases más importantes de la aplicación.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Operador es una entidad que debe ser persistente debido a que en ella se guarda la información de los operadores que proponen las ofertas de vivienda que se van a presentar en la aplicación.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Oferta es una entidad que debe ser persistente debido a que es en ella donde se halla la información de las ofertas que brinda cada uno de los operadores en la aplicación.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 es una entidad que debe tambien ser persistente debido a que en ella se guarda la información de cada uno de los servicios disponibles en una oferta de vivienda</w:t>
      </w:r>
    </w:p>
    <w:p w:rsidR="00000000" w:rsidDel="00000000" w:rsidP="00000000" w:rsidRDefault="00000000" w:rsidRPr="00000000" w14:paraId="00000007">
      <w:pPr>
        <w:contextualSpacing w:val="0"/>
        <w:rPr/>
      </w:pPr>
      <w:r w:rsidDel="00000000" w:rsidR="00000000" w:rsidRPr="00000000">
        <w:rPr>
          <w:rtl w:val="0"/>
        </w:rPr>
        <w:t xml:space="preserve">4.</w:t>
      </w:r>
    </w:p>
    <w:p w:rsidR="00000000" w:rsidDel="00000000" w:rsidP="00000000" w:rsidRDefault="00000000" w:rsidRPr="00000000" w14:paraId="00000008">
      <w:pPr>
        <w:ind w:left="705" w:firstLine="0"/>
        <w:contextualSpacing w:val="0"/>
        <w:rPr/>
      </w:pPr>
      <w:bookmarkStart w:colFirst="0" w:colLast="0" w:name="_gjdgxs" w:id="0"/>
      <w:bookmarkEnd w:id="0"/>
      <w:r w:rsidDel="00000000" w:rsidR="00000000" w:rsidRPr="00000000">
        <w:rPr>
          <w:rtl w:val="0"/>
        </w:rPr>
        <w:t xml:space="preserve">b. Las diferencias principales que se hallan entre los dos modelos es que el autogenerado por Enterprise Architect no genera las llaves foráneas como sería más lógico debido a las características del negocio. Tambien genera algunas tablas innecesarias en ciertas relaciones en las que simplemente es suficiente el uso de llaves foráneas en ambas tablas. Aunque tambien fue acertado al momento de crear algunas tablas debido a otras relaciones creo que lo mejor es hacer los modelos uno mismo.</w:t>
      </w:r>
    </w:p>
    <w:p w:rsidR="00000000" w:rsidDel="00000000" w:rsidP="00000000" w:rsidRDefault="00000000" w:rsidRPr="00000000" w14:paraId="00000009">
      <w:pPr>
        <w:ind w:left="705" w:firstLine="0"/>
        <w:contextualSpacing w:val="0"/>
        <w:rPr/>
      </w:pPr>
      <w:r w:rsidDel="00000000" w:rsidR="00000000" w:rsidRPr="00000000">
        <w:rPr>
          <w:rtl w:val="0"/>
        </w:rPr>
      </w:r>
    </w:p>
    <w:p w:rsidR="00000000" w:rsidDel="00000000" w:rsidP="00000000" w:rsidRDefault="00000000" w:rsidRPr="00000000" w14:paraId="0000000A">
      <w:pPr>
        <w:ind w:left="705" w:firstLine="0"/>
        <w:contextualSpacing w:val="0"/>
        <w:rPr/>
      </w:pPr>
      <w:r w:rsidDel="00000000" w:rsidR="00000000" w:rsidRPr="00000000">
        <w:rPr>
          <w:b w:val="1"/>
          <w:rtl w:val="0"/>
        </w:rPr>
        <w:t xml:space="preserve">Resultados logrados:</w:t>
      </w:r>
      <w:r w:rsidDel="00000000" w:rsidR="00000000" w:rsidRPr="00000000">
        <w:rPr>
          <w:rtl w:val="0"/>
        </w:rPr>
        <w:t xml:space="preserve"> Identificamos y especificamos los casos de uso correspondientes a la aplicación, realizamos el modelo conceptual y el modelo de datos especificando las debidas restricciones, y del mismo modo generamos las tablas en sql developer haciendo uso de llaves primarias y foráneas. Tambien adicionamos datos de prueba a dichas tablas y gracias a esto logramos realizar las sentencias sql establecidas como requerimientos funcionales de consulta.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