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000954069"/>
        <w:docPartObj>
          <w:docPartGallery w:val="Cover Pages"/>
          <w:docPartUnique/>
        </w:docPartObj>
      </w:sdtPr>
      <w:sdtEndPr>
        <w:rPr>
          <w:rFonts w:eastAsiaTheme="minorHAnsi"/>
          <w:color w:val="auto"/>
          <w:kern w:val="2"/>
          <w:sz w:val="24"/>
          <w:szCs w:val="24"/>
          <w14:ligatures w14:val="standardContextual"/>
        </w:rPr>
      </w:sdtEndPr>
      <w:sdtContent>
        <w:p w14:paraId="188E62CA" w14:textId="73C76AEF" w:rsidR="00327445" w:rsidRDefault="00327445">
          <w:pPr>
            <w:pStyle w:val="NoSpacing"/>
            <w:spacing w:before="1540" w:after="240"/>
            <w:jc w:val="center"/>
            <w:rPr>
              <w:color w:val="156082" w:themeColor="accent1"/>
            </w:rPr>
          </w:pPr>
          <w:r>
            <w:rPr>
              <w:noProof/>
              <w:color w:val="156082" w:themeColor="accent1"/>
            </w:rPr>
            <w:drawing>
              <wp:inline distT="0" distB="0" distL="0" distR="0" wp14:anchorId="52E9D71D" wp14:editId="47E6665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prstClr val="black"/>
                            <a:schemeClr val="accent6">
                              <a:tint val="45000"/>
                              <a:satMod val="400000"/>
                            </a:schemeClr>
                          </a:duotone>
                          <a:extLst>
                            <a:ext uri="{BEBA8EAE-BF5A-486C-A8C5-ECC9F3942E4B}">
                              <a14:imgProps xmlns:a14="http://schemas.microsoft.com/office/drawing/2010/main">
                                <a14:imgLayer r:embed="rId11">
                                  <a14:imgEffect>
                                    <a14:sharpenSoften amount="100000"/>
                                  </a14:imgEffect>
                                  <a14:imgEffect>
                                    <a14:colorTemperature colorTemp="11200"/>
                                  </a14:imgEffect>
                                  <a14:imgEffect>
                                    <a14:saturation sat="400000"/>
                                  </a14:imgEffect>
                                  <a14:imgEffect>
                                    <a14:brightnessContrast bright="-100000" contrast="100000"/>
                                  </a14:imgEffect>
                                </a14:imgLayer>
                              </a14:imgProps>
                            </a:ex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spacing w:val="-10"/>
              <w:kern w:val="28"/>
              <w:sz w:val="56"/>
              <w:szCs w:val="56"/>
            </w:rPr>
            <w:alias w:val="Title"/>
            <w:tag w:val=""/>
            <w:id w:val="1735040861"/>
            <w:placeholder>
              <w:docPart w:val="DCE370EDDDD74723B7F225EB4D6C6559"/>
            </w:placeholder>
            <w:dataBinding w:prefixMappings="xmlns:ns0='http://purl.org/dc/elements/1.1/' xmlns:ns1='http://schemas.openxmlformats.org/package/2006/metadata/core-properties' " w:xpath="/ns1:coreProperties[1]/ns0:title[1]" w:storeItemID="{6C3C8BC8-F283-45AE-878A-BAB7291924A1}"/>
            <w:text/>
          </w:sdtPr>
          <w:sdtContent>
            <w:p w14:paraId="2970A392" w14:textId="5B0B0F7A" w:rsidR="00327445" w:rsidRDefault="0032744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327445">
                <w:rPr>
                  <w:rFonts w:asciiTheme="majorHAnsi" w:eastAsiaTheme="majorEastAsia" w:hAnsiTheme="majorHAnsi" w:cstheme="majorBidi"/>
                  <w:spacing w:val="-10"/>
                  <w:kern w:val="28"/>
                  <w:sz w:val="56"/>
                  <w:szCs w:val="56"/>
                </w:rPr>
                <w:t>The Price of Speed</w:t>
              </w:r>
            </w:p>
          </w:sdtContent>
        </w:sdt>
        <w:sdt>
          <w:sdtPr>
            <w:rPr>
              <w:sz w:val="28"/>
              <w:szCs w:val="28"/>
            </w:rPr>
            <w:alias w:val="Subtitle"/>
            <w:tag w:val=""/>
            <w:id w:val="328029620"/>
            <w:placeholder>
              <w:docPart w:val="FF034868614D48328E437FC1FB7E7168"/>
            </w:placeholder>
            <w:dataBinding w:prefixMappings="xmlns:ns0='http://purl.org/dc/elements/1.1/' xmlns:ns1='http://schemas.openxmlformats.org/package/2006/metadata/core-properties' " w:xpath="/ns1:coreProperties[1]/ns0:subject[1]" w:storeItemID="{6C3C8BC8-F283-45AE-878A-BAB7291924A1}"/>
            <w:text/>
          </w:sdtPr>
          <w:sdtContent>
            <w:p w14:paraId="613FD6C1" w14:textId="3D25C75E" w:rsidR="00327445" w:rsidRDefault="00327445">
              <w:pPr>
                <w:pStyle w:val="NoSpacing"/>
                <w:jc w:val="center"/>
                <w:rPr>
                  <w:color w:val="156082" w:themeColor="accent1"/>
                  <w:sz w:val="28"/>
                  <w:szCs w:val="28"/>
                </w:rPr>
              </w:pPr>
              <w:r w:rsidRPr="00327445">
                <w:rPr>
                  <w:sz w:val="28"/>
                  <w:szCs w:val="28"/>
                </w:rPr>
                <w:t>An anatomy of the billions behind the grid — where the money flows in, where it disappears, and who profits when the chequered flag falls in 2026's landmark new era.</w:t>
              </w:r>
            </w:p>
          </w:sdtContent>
        </w:sdt>
        <w:p w14:paraId="691E8539" w14:textId="77777777" w:rsidR="00327445" w:rsidRDefault="0032744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509C2D1" wp14:editId="0283824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6AD3125" w14:textId="1E4E94A3" w:rsidR="00327445" w:rsidRPr="00327445" w:rsidRDefault="00327445">
                                    <w:pPr>
                                      <w:pStyle w:val="NoSpacing"/>
                                      <w:spacing w:after="40"/>
                                      <w:jc w:val="center"/>
                                      <w:rPr>
                                        <w:caps/>
                                        <w:sz w:val="28"/>
                                        <w:szCs w:val="28"/>
                                      </w:rPr>
                                    </w:pPr>
                                    <w:r w:rsidRPr="00327445">
                                      <w:rPr>
                                        <w:caps/>
                                        <w:sz w:val="28"/>
                                        <w:szCs w:val="28"/>
                                      </w:rPr>
                                      <w:t>Juan Diego Zuluaga</w:t>
                                    </w:r>
                                  </w:p>
                                </w:sdtContent>
                              </w:sdt>
                              <w:p w14:paraId="705DE5D7" w14:textId="7A9001CE" w:rsidR="00327445" w:rsidRPr="00327445" w:rsidRDefault="00327445">
                                <w:pPr>
                                  <w:pStyle w:val="NoSpacing"/>
                                  <w:jc w:val="center"/>
                                </w:pPr>
                                <w:r w:rsidRPr="00327445">
                                  <w:rPr>
                                    <w:caps/>
                                  </w:rPr>
                                  <w:t>La Salle college montreal</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509C2D1"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6AD3125" w14:textId="1E4E94A3" w:rsidR="00327445" w:rsidRPr="00327445" w:rsidRDefault="00327445">
                              <w:pPr>
                                <w:pStyle w:val="NoSpacing"/>
                                <w:spacing w:after="40"/>
                                <w:jc w:val="center"/>
                                <w:rPr>
                                  <w:caps/>
                                  <w:sz w:val="28"/>
                                  <w:szCs w:val="28"/>
                                </w:rPr>
                              </w:pPr>
                              <w:r w:rsidRPr="00327445">
                                <w:rPr>
                                  <w:caps/>
                                  <w:sz w:val="28"/>
                                  <w:szCs w:val="28"/>
                                </w:rPr>
                                <w:t>Juan Diego Zuluaga</w:t>
                              </w:r>
                            </w:p>
                          </w:sdtContent>
                        </w:sdt>
                        <w:p w14:paraId="705DE5D7" w14:textId="7A9001CE" w:rsidR="00327445" w:rsidRPr="00327445" w:rsidRDefault="00327445">
                          <w:pPr>
                            <w:pStyle w:val="NoSpacing"/>
                            <w:jc w:val="center"/>
                          </w:pPr>
                          <w:r w:rsidRPr="00327445">
                            <w:rPr>
                              <w:caps/>
                            </w:rPr>
                            <w:t>La Salle college montreal</w:t>
                          </w:r>
                        </w:p>
                      </w:txbxContent>
                    </v:textbox>
                    <w10:wrap anchorx="margin" anchory="page"/>
                  </v:shape>
                </w:pict>
              </mc:Fallback>
            </mc:AlternateContent>
          </w:r>
          <w:r>
            <w:rPr>
              <w:noProof/>
              <w:color w:val="156082" w:themeColor="accent1"/>
            </w:rPr>
            <w:drawing>
              <wp:inline distT="0" distB="0" distL="0" distR="0" wp14:anchorId="0A289F2E" wp14:editId="5431B5D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biLevel thresh="75000"/>
                          <a:extLst>
                            <a:ext uri="{BEBA8EAE-BF5A-486C-A8C5-ECC9F3942E4B}">
                              <a14:imgProps xmlns:a14="http://schemas.microsoft.com/office/drawing/2010/main">
                                <a14:imgLayer r:embed="rId13">
                                  <a14:imgEffect>
                                    <a14:sharpenSoften amount="100000"/>
                                  </a14:imgEffect>
                                  <a14:imgEffect>
                                    <a14:colorTemperature colorTemp="11500"/>
                                  </a14:imgEffect>
                                  <a14:imgEffect>
                                    <a14:saturation sat="400000"/>
                                  </a14:imgEffect>
                                  <a14:imgEffect>
                                    <a14:brightnessContrast bright="100000" contrast="-100000"/>
                                  </a14:imgEffect>
                                </a14:imgLayer>
                              </a14:imgProps>
                            </a:ex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FA921BA" w14:textId="1833481B" w:rsidR="00327445" w:rsidRDefault="00327445">
          <w:pPr>
            <w:rPr>
              <w:rFonts w:asciiTheme="majorHAnsi" w:eastAsiaTheme="majorEastAsia" w:hAnsiTheme="majorHAnsi" w:cstheme="majorBidi"/>
              <w:spacing w:val="-10"/>
              <w:kern w:val="28"/>
              <w:sz w:val="56"/>
              <w:szCs w:val="56"/>
            </w:rPr>
          </w:pPr>
          <w:r>
            <w:br w:type="page"/>
          </w:r>
        </w:p>
      </w:sdtContent>
    </w:sdt>
    <w:sdt>
      <w:sdtPr>
        <w:id w:val="436789246"/>
        <w:docPartObj>
          <w:docPartGallery w:val="Table of Contents"/>
          <w:docPartUnique/>
        </w:docPartObj>
      </w:sdtPr>
      <w:sdtEndPr>
        <w:rPr>
          <w:rFonts w:asciiTheme="minorHAnsi" w:eastAsiaTheme="minorHAnsi" w:hAnsiTheme="minorHAnsi" w:cstheme="minorBidi"/>
          <w:bCs/>
          <w:noProof/>
          <w:color w:val="auto"/>
          <w:kern w:val="2"/>
          <w:sz w:val="24"/>
          <w:szCs w:val="24"/>
          <w14:ligatures w14:val="standardContextual"/>
        </w:rPr>
      </w:sdtEndPr>
      <w:sdtContent>
        <w:p w14:paraId="3CE1E2B9" w14:textId="1238182C" w:rsidR="00327445" w:rsidRDefault="00327445">
          <w:pPr>
            <w:pStyle w:val="TOCHeading"/>
          </w:pPr>
          <w:r>
            <w:t>Table of Contents</w:t>
          </w:r>
        </w:p>
        <w:p w14:paraId="2F556005" w14:textId="247222E0" w:rsidR="00B17E7C" w:rsidRDefault="0032744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598595" w:history="1">
            <w:r w:rsidR="00B17E7C" w:rsidRPr="002F4F7A">
              <w:rPr>
                <w:rStyle w:val="Hyperlink"/>
                <w:bCs/>
                <w:noProof/>
              </w:rPr>
              <w:t>A $215 Million Ceiling — And What It Really Means</w:t>
            </w:r>
            <w:r w:rsidR="00B17E7C">
              <w:rPr>
                <w:noProof/>
                <w:webHidden/>
              </w:rPr>
              <w:tab/>
            </w:r>
            <w:r w:rsidR="00B17E7C">
              <w:rPr>
                <w:noProof/>
                <w:webHidden/>
              </w:rPr>
              <w:fldChar w:fldCharType="begin"/>
            </w:r>
            <w:r w:rsidR="00B17E7C">
              <w:rPr>
                <w:noProof/>
                <w:webHidden/>
              </w:rPr>
              <w:instrText xml:space="preserve"> PAGEREF _Toc227598595 \h </w:instrText>
            </w:r>
            <w:r w:rsidR="00B17E7C">
              <w:rPr>
                <w:noProof/>
                <w:webHidden/>
              </w:rPr>
            </w:r>
            <w:r w:rsidR="00B17E7C">
              <w:rPr>
                <w:noProof/>
                <w:webHidden/>
              </w:rPr>
              <w:fldChar w:fldCharType="separate"/>
            </w:r>
            <w:r w:rsidR="00B17E7C">
              <w:rPr>
                <w:noProof/>
                <w:webHidden/>
              </w:rPr>
              <w:t>2</w:t>
            </w:r>
            <w:r w:rsidR="00B17E7C">
              <w:rPr>
                <w:noProof/>
                <w:webHidden/>
              </w:rPr>
              <w:fldChar w:fldCharType="end"/>
            </w:r>
          </w:hyperlink>
        </w:p>
        <w:p w14:paraId="79517621" w14:textId="1CA1CB21" w:rsidR="00B17E7C" w:rsidRDefault="00B17E7C">
          <w:pPr>
            <w:pStyle w:val="TOC1"/>
            <w:tabs>
              <w:tab w:val="right" w:leader="dot" w:pos="9350"/>
            </w:tabs>
            <w:rPr>
              <w:rFonts w:eastAsiaTheme="minorEastAsia"/>
              <w:noProof/>
            </w:rPr>
          </w:pPr>
          <w:hyperlink w:anchor="_Toc227598596" w:history="1">
            <w:r w:rsidRPr="002F4F7A">
              <w:rPr>
                <w:rStyle w:val="Hyperlink"/>
                <w:noProof/>
              </w:rPr>
              <w:t>The Separate Engine Arms Race — Capped at $190 Million</w:t>
            </w:r>
            <w:r>
              <w:rPr>
                <w:noProof/>
                <w:webHidden/>
              </w:rPr>
              <w:tab/>
            </w:r>
            <w:r>
              <w:rPr>
                <w:noProof/>
                <w:webHidden/>
              </w:rPr>
              <w:fldChar w:fldCharType="begin"/>
            </w:r>
            <w:r>
              <w:rPr>
                <w:noProof/>
                <w:webHidden/>
              </w:rPr>
              <w:instrText xml:space="preserve"> PAGEREF _Toc227598596 \h </w:instrText>
            </w:r>
            <w:r>
              <w:rPr>
                <w:noProof/>
                <w:webHidden/>
              </w:rPr>
            </w:r>
            <w:r>
              <w:rPr>
                <w:noProof/>
                <w:webHidden/>
              </w:rPr>
              <w:fldChar w:fldCharType="separate"/>
            </w:r>
            <w:r>
              <w:rPr>
                <w:noProof/>
                <w:webHidden/>
              </w:rPr>
              <w:t>3</w:t>
            </w:r>
            <w:r>
              <w:rPr>
                <w:noProof/>
                <w:webHidden/>
              </w:rPr>
              <w:fldChar w:fldCharType="end"/>
            </w:r>
          </w:hyperlink>
        </w:p>
        <w:p w14:paraId="452DD9C8" w14:textId="75E3AD3F" w:rsidR="00B17E7C" w:rsidRDefault="00B17E7C">
          <w:pPr>
            <w:pStyle w:val="TOC1"/>
            <w:tabs>
              <w:tab w:val="right" w:leader="dot" w:pos="9350"/>
            </w:tabs>
            <w:rPr>
              <w:rFonts w:eastAsiaTheme="minorEastAsia"/>
              <w:noProof/>
            </w:rPr>
          </w:pPr>
          <w:hyperlink w:anchor="_Toc227598597" w:history="1">
            <w:r w:rsidRPr="002F4F7A">
              <w:rPr>
                <w:rStyle w:val="Hyperlink"/>
                <w:noProof/>
              </w:rPr>
              <w:t>Prize Money, Sponsorship, and the Art of Commercial Survival</w:t>
            </w:r>
            <w:r>
              <w:rPr>
                <w:noProof/>
                <w:webHidden/>
              </w:rPr>
              <w:tab/>
            </w:r>
            <w:r>
              <w:rPr>
                <w:noProof/>
                <w:webHidden/>
              </w:rPr>
              <w:fldChar w:fldCharType="begin"/>
            </w:r>
            <w:r>
              <w:rPr>
                <w:noProof/>
                <w:webHidden/>
              </w:rPr>
              <w:instrText xml:space="preserve"> PAGEREF _Toc227598597 \h </w:instrText>
            </w:r>
            <w:r>
              <w:rPr>
                <w:noProof/>
                <w:webHidden/>
              </w:rPr>
            </w:r>
            <w:r>
              <w:rPr>
                <w:noProof/>
                <w:webHidden/>
              </w:rPr>
              <w:fldChar w:fldCharType="separate"/>
            </w:r>
            <w:r>
              <w:rPr>
                <w:noProof/>
                <w:webHidden/>
              </w:rPr>
              <w:t>4</w:t>
            </w:r>
            <w:r>
              <w:rPr>
                <w:noProof/>
                <w:webHidden/>
              </w:rPr>
              <w:fldChar w:fldCharType="end"/>
            </w:r>
          </w:hyperlink>
        </w:p>
        <w:p w14:paraId="0B08A8FF" w14:textId="00DDC1A8" w:rsidR="00B17E7C" w:rsidRDefault="00B17E7C">
          <w:pPr>
            <w:pStyle w:val="TOC1"/>
            <w:tabs>
              <w:tab w:val="right" w:leader="dot" w:pos="9350"/>
            </w:tabs>
            <w:rPr>
              <w:rFonts w:eastAsiaTheme="minorEastAsia"/>
              <w:noProof/>
            </w:rPr>
          </w:pPr>
          <w:hyperlink w:anchor="_Toc227598598" w:history="1">
            <w:r w:rsidRPr="002F4F7A">
              <w:rPr>
                <w:rStyle w:val="Hyperlink"/>
                <w:noProof/>
              </w:rPr>
              <w:t>Where the Money Goes: Personnel, Aerodynamics, and the Race Weekend</w:t>
            </w:r>
            <w:r>
              <w:rPr>
                <w:noProof/>
                <w:webHidden/>
              </w:rPr>
              <w:tab/>
            </w:r>
            <w:r>
              <w:rPr>
                <w:noProof/>
                <w:webHidden/>
              </w:rPr>
              <w:fldChar w:fldCharType="begin"/>
            </w:r>
            <w:r>
              <w:rPr>
                <w:noProof/>
                <w:webHidden/>
              </w:rPr>
              <w:instrText xml:space="preserve"> PAGEREF _Toc227598598 \h </w:instrText>
            </w:r>
            <w:r>
              <w:rPr>
                <w:noProof/>
                <w:webHidden/>
              </w:rPr>
            </w:r>
            <w:r>
              <w:rPr>
                <w:noProof/>
                <w:webHidden/>
              </w:rPr>
              <w:fldChar w:fldCharType="separate"/>
            </w:r>
            <w:r>
              <w:rPr>
                <w:noProof/>
                <w:webHidden/>
              </w:rPr>
              <w:t>6</w:t>
            </w:r>
            <w:r>
              <w:rPr>
                <w:noProof/>
                <w:webHidden/>
              </w:rPr>
              <w:fldChar w:fldCharType="end"/>
            </w:r>
          </w:hyperlink>
        </w:p>
        <w:p w14:paraId="66480238" w14:textId="796370ED" w:rsidR="00B17E7C" w:rsidRDefault="00B17E7C">
          <w:pPr>
            <w:pStyle w:val="TOC1"/>
            <w:tabs>
              <w:tab w:val="right" w:leader="dot" w:pos="9350"/>
            </w:tabs>
            <w:rPr>
              <w:rFonts w:eastAsiaTheme="minorEastAsia"/>
              <w:noProof/>
            </w:rPr>
          </w:pPr>
          <w:hyperlink w:anchor="_Toc227598599" w:history="1">
            <w:r w:rsidRPr="002F4F7A">
              <w:rPr>
                <w:rStyle w:val="Hyperlink"/>
                <w:noProof/>
              </w:rPr>
              <w:t>From Money Pit to Financial Asset: The Transformation of Team Valuations</w:t>
            </w:r>
            <w:r>
              <w:rPr>
                <w:noProof/>
                <w:webHidden/>
              </w:rPr>
              <w:tab/>
            </w:r>
            <w:r>
              <w:rPr>
                <w:noProof/>
                <w:webHidden/>
              </w:rPr>
              <w:fldChar w:fldCharType="begin"/>
            </w:r>
            <w:r>
              <w:rPr>
                <w:noProof/>
                <w:webHidden/>
              </w:rPr>
              <w:instrText xml:space="preserve"> PAGEREF _Toc227598599 \h </w:instrText>
            </w:r>
            <w:r>
              <w:rPr>
                <w:noProof/>
                <w:webHidden/>
              </w:rPr>
            </w:r>
            <w:r>
              <w:rPr>
                <w:noProof/>
                <w:webHidden/>
              </w:rPr>
              <w:fldChar w:fldCharType="separate"/>
            </w:r>
            <w:r>
              <w:rPr>
                <w:noProof/>
                <w:webHidden/>
              </w:rPr>
              <w:t>7</w:t>
            </w:r>
            <w:r>
              <w:rPr>
                <w:noProof/>
                <w:webHidden/>
              </w:rPr>
              <w:fldChar w:fldCharType="end"/>
            </w:r>
          </w:hyperlink>
        </w:p>
        <w:p w14:paraId="738A1866" w14:textId="7692110C" w:rsidR="00B17E7C" w:rsidRDefault="00B17E7C">
          <w:pPr>
            <w:pStyle w:val="TOC1"/>
            <w:tabs>
              <w:tab w:val="right" w:leader="dot" w:pos="9350"/>
            </w:tabs>
            <w:rPr>
              <w:rFonts w:eastAsiaTheme="minorEastAsia"/>
              <w:noProof/>
            </w:rPr>
          </w:pPr>
          <w:hyperlink w:anchor="_Toc227598600" w:history="1">
            <w:r w:rsidRPr="002F4F7A">
              <w:rPr>
                <w:rStyle w:val="Hyperlink"/>
                <w:noProof/>
              </w:rPr>
              <w:t>Switzerland, Hinwil, and the Geography of Financial Disadvantage</w:t>
            </w:r>
            <w:r>
              <w:rPr>
                <w:noProof/>
                <w:webHidden/>
              </w:rPr>
              <w:tab/>
            </w:r>
            <w:r>
              <w:rPr>
                <w:noProof/>
                <w:webHidden/>
              </w:rPr>
              <w:fldChar w:fldCharType="begin"/>
            </w:r>
            <w:r>
              <w:rPr>
                <w:noProof/>
                <w:webHidden/>
              </w:rPr>
              <w:instrText xml:space="preserve"> PAGEREF _Toc227598600 \h </w:instrText>
            </w:r>
            <w:r>
              <w:rPr>
                <w:noProof/>
                <w:webHidden/>
              </w:rPr>
            </w:r>
            <w:r>
              <w:rPr>
                <w:noProof/>
                <w:webHidden/>
              </w:rPr>
              <w:fldChar w:fldCharType="separate"/>
            </w:r>
            <w:r>
              <w:rPr>
                <w:noProof/>
                <w:webHidden/>
              </w:rPr>
              <w:t>8</w:t>
            </w:r>
            <w:r>
              <w:rPr>
                <w:noProof/>
                <w:webHidden/>
              </w:rPr>
              <w:fldChar w:fldCharType="end"/>
            </w:r>
          </w:hyperlink>
        </w:p>
        <w:p w14:paraId="13D6FD24" w14:textId="3D88B7C5" w:rsidR="00B17E7C" w:rsidRDefault="00B17E7C">
          <w:pPr>
            <w:pStyle w:val="TOC1"/>
            <w:tabs>
              <w:tab w:val="right" w:leader="dot" w:pos="9350"/>
            </w:tabs>
            <w:rPr>
              <w:rFonts w:eastAsiaTheme="minorEastAsia"/>
              <w:noProof/>
            </w:rPr>
          </w:pPr>
          <w:hyperlink w:anchor="_Toc227598601" w:history="1">
            <w:r w:rsidRPr="002F4F7A">
              <w:rPr>
                <w:rStyle w:val="Hyperlink"/>
                <w:noProof/>
              </w:rPr>
              <w:t>The $400 Million Question: Is the Level Playing Field an Illusion?</w:t>
            </w:r>
            <w:r>
              <w:rPr>
                <w:noProof/>
                <w:webHidden/>
              </w:rPr>
              <w:tab/>
            </w:r>
            <w:r>
              <w:rPr>
                <w:noProof/>
                <w:webHidden/>
              </w:rPr>
              <w:fldChar w:fldCharType="begin"/>
            </w:r>
            <w:r>
              <w:rPr>
                <w:noProof/>
                <w:webHidden/>
              </w:rPr>
              <w:instrText xml:space="preserve"> PAGEREF _Toc227598601 \h </w:instrText>
            </w:r>
            <w:r>
              <w:rPr>
                <w:noProof/>
                <w:webHidden/>
              </w:rPr>
            </w:r>
            <w:r>
              <w:rPr>
                <w:noProof/>
                <w:webHidden/>
              </w:rPr>
              <w:fldChar w:fldCharType="separate"/>
            </w:r>
            <w:r>
              <w:rPr>
                <w:noProof/>
                <w:webHidden/>
              </w:rPr>
              <w:t>9</w:t>
            </w:r>
            <w:r>
              <w:rPr>
                <w:noProof/>
                <w:webHidden/>
              </w:rPr>
              <w:fldChar w:fldCharType="end"/>
            </w:r>
          </w:hyperlink>
        </w:p>
        <w:p w14:paraId="39B9F9C3" w14:textId="0C27784B" w:rsidR="00B17E7C" w:rsidRDefault="00B17E7C">
          <w:pPr>
            <w:pStyle w:val="TOC1"/>
            <w:tabs>
              <w:tab w:val="right" w:leader="dot" w:pos="9350"/>
            </w:tabs>
            <w:rPr>
              <w:rFonts w:eastAsiaTheme="minorEastAsia"/>
              <w:noProof/>
            </w:rPr>
          </w:pPr>
          <w:hyperlink w:anchor="_Toc227598602" w:history="1">
            <w:r w:rsidRPr="002F4F7A">
              <w:rPr>
                <w:rStyle w:val="Hyperlink"/>
                <w:noProof/>
              </w:rPr>
              <w:t>Bibliography</w:t>
            </w:r>
            <w:r>
              <w:rPr>
                <w:noProof/>
                <w:webHidden/>
              </w:rPr>
              <w:tab/>
            </w:r>
            <w:r>
              <w:rPr>
                <w:noProof/>
                <w:webHidden/>
              </w:rPr>
              <w:fldChar w:fldCharType="begin"/>
            </w:r>
            <w:r>
              <w:rPr>
                <w:noProof/>
                <w:webHidden/>
              </w:rPr>
              <w:instrText xml:space="preserve"> PAGEREF _Toc227598602 \h </w:instrText>
            </w:r>
            <w:r>
              <w:rPr>
                <w:noProof/>
                <w:webHidden/>
              </w:rPr>
            </w:r>
            <w:r>
              <w:rPr>
                <w:noProof/>
                <w:webHidden/>
              </w:rPr>
              <w:fldChar w:fldCharType="separate"/>
            </w:r>
            <w:r>
              <w:rPr>
                <w:noProof/>
                <w:webHidden/>
              </w:rPr>
              <w:t>10</w:t>
            </w:r>
            <w:r>
              <w:rPr>
                <w:noProof/>
                <w:webHidden/>
              </w:rPr>
              <w:fldChar w:fldCharType="end"/>
            </w:r>
          </w:hyperlink>
        </w:p>
        <w:p w14:paraId="40C3984B" w14:textId="2EAF83B6" w:rsidR="00327445" w:rsidRDefault="00327445">
          <w:r>
            <w:rPr>
              <w:b/>
              <w:bCs/>
              <w:noProof/>
            </w:rPr>
            <w:fldChar w:fldCharType="end"/>
          </w:r>
        </w:p>
      </w:sdtContent>
    </w:sdt>
    <w:p w14:paraId="5B9F5F94" w14:textId="77777777" w:rsidR="00327445" w:rsidRDefault="00327445" w:rsidP="00327445">
      <w:pPr>
        <w:pStyle w:val="Title"/>
      </w:pPr>
    </w:p>
    <w:p w14:paraId="253DBFE6" w14:textId="77777777" w:rsidR="00327445" w:rsidRDefault="00327445" w:rsidP="00327445"/>
    <w:p w14:paraId="55745C80" w14:textId="77777777" w:rsidR="00327445" w:rsidRDefault="00327445" w:rsidP="00327445"/>
    <w:p w14:paraId="5DA7A315" w14:textId="77777777" w:rsidR="00327445" w:rsidRDefault="00327445" w:rsidP="00327445"/>
    <w:p w14:paraId="3C05C581" w14:textId="77777777" w:rsidR="00327445" w:rsidRDefault="00327445" w:rsidP="00327445"/>
    <w:p w14:paraId="18779E28" w14:textId="77777777" w:rsidR="00327445" w:rsidRDefault="00327445" w:rsidP="00327445"/>
    <w:p w14:paraId="223BCF37" w14:textId="77777777" w:rsidR="00327445" w:rsidRDefault="00327445" w:rsidP="00327445"/>
    <w:p w14:paraId="09CF3115" w14:textId="77777777" w:rsidR="00327445" w:rsidRDefault="00327445" w:rsidP="00327445"/>
    <w:p w14:paraId="02DAB762" w14:textId="77777777" w:rsidR="00327445" w:rsidRDefault="00327445" w:rsidP="00327445"/>
    <w:p w14:paraId="43D17F37" w14:textId="77777777" w:rsidR="00327445" w:rsidRDefault="00327445" w:rsidP="00327445"/>
    <w:p w14:paraId="41289D50" w14:textId="77777777" w:rsidR="00327445" w:rsidRDefault="00327445" w:rsidP="00327445"/>
    <w:p w14:paraId="6810B1C1" w14:textId="77777777" w:rsidR="00327445" w:rsidRDefault="00327445" w:rsidP="00327445"/>
    <w:p w14:paraId="486E923F" w14:textId="77777777" w:rsidR="00327445" w:rsidRDefault="00327445" w:rsidP="00327445"/>
    <w:p w14:paraId="2E70E569" w14:textId="77777777" w:rsidR="00327445" w:rsidRDefault="00327445" w:rsidP="00327445"/>
    <w:p w14:paraId="5A0C09E3" w14:textId="77777777" w:rsidR="00327445" w:rsidRDefault="00327445" w:rsidP="00327445"/>
    <w:p w14:paraId="3DC951E5" w14:textId="77777777" w:rsidR="00327445" w:rsidRDefault="00327445" w:rsidP="00327445"/>
    <w:p w14:paraId="0EE61747" w14:textId="77777777" w:rsidR="00327445" w:rsidRPr="00327445" w:rsidRDefault="00327445" w:rsidP="00327445"/>
    <w:p w14:paraId="4AF3F10A" w14:textId="77777777" w:rsidR="001E5C3A" w:rsidRPr="00327445" w:rsidRDefault="001E5C3A" w:rsidP="001E5C3A">
      <w:pPr>
        <w:rPr>
          <w:rFonts w:ascii="Times New Roman" w:hAnsi="Times New Roman" w:cs="Times New Roman"/>
          <w:i/>
          <w:iCs/>
        </w:rPr>
      </w:pPr>
    </w:p>
    <w:p w14:paraId="3A2158A3" w14:textId="0FC31B1D" w:rsidR="001E5C3A" w:rsidRPr="001E5C3A" w:rsidRDefault="001E5C3A" w:rsidP="001E5C3A">
      <w:pPr>
        <w:rPr>
          <w:rFonts w:ascii="Times New Roman" w:hAnsi="Times New Roman" w:cs="Times New Roman"/>
          <w:i/>
          <w:iCs/>
        </w:rPr>
      </w:pPr>
      <w:r w:rsidRPr="001E5C3A">
        <w:rPr>
          <w:rFonts w:ascii="Times New Roman" w:hAnsi="Times New Roman" w:cs="Times New Roman"/>
          <w:i/>
          <w:iCs/>
        </w:rPr>
        <w:t>Formula One has always been theatre — but </w:t>
      </w:r>
      <w:r w:rsidRPr="001E5C3A">
        <w:rPr>
          <w:rFonts w:ascii="Times New Roman" w:hAnsi="Times New Roman" w:cs="Times New Roman"/>
        </w:rPr>
        <w:t>it is theatre that costs somewhere north of half a billion dollars</w:t>
      </w:r>
      <w:r w:rsidRPr="001E5C3A">
        <w:rPr>
          <w:rFonts w:ascii="Times New Roman" w:hAnsi="Times New Roman" w:cs="Times New Roman"/>
          <w:i/>
          <w:iCs/>
        </w:rPr>
        <w:t> a season for the largest operations on the grid. In 2026, that theatre enters its most consequential new chapter in a decade, with fresh regulations, fresh manufacturers, and financial rules that have been rewritten from the ground up. The numbers deserve close attention.</w:t>
      </w:r>
    </w:p>
    <w:p w14:paraId="6AB1491A" w14:textId="77777777" w:rsidR="001E5C3A" w:rsidRPr="00327445" w:rsidRDefault="001E5C3A" w:rsidP="00327445">
      <w:pPr>
        <w:pStyle w:val="Heading1"/>
        <w:rPr>
          <w:b w:val="0"/>
          <w:bCs/>
          <w:color w:val="auto"/>
        </w:rPr>
      </w:pPr>
      <w:bookmarkStart w:id="0" w:name="_Toc227598595"/>
      <w:r w:rsidRPr="00327445">
        <w:rPr>
          <w:b w:val="0"/>
          <w:bCs/>
          <w:color w:val="auto"/>
        </w:rPr>
        <w:t>A $215 Million Ceiling — And What It Really Means</w:t>
      </w:r>
      <w:bookmarkEnd w:id="0"/>
    </w:p>
    <w:p w14:paraId="2E4E48EE"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When the FIA announced that the cost cap would rise from $135 million to $215 million for the 2026 season, the reaction across the paddock was swift and, in many cases, deeply misguided. The figure sounds alarming — an $80 million increase in a single cycle. The reality, as the FIA's financial regulations director Federico Lodi took pains to explain, is considerably more nuanced. The starting level is the cost cap of today, with the effect of accumulated inflation, plus the effect of costs currently outside the perimeter that have now been brought in — so there is not really an increase of capital, it is simply a different way to perform the calculation.</w:t>
      </w:r>
    </w:p>
    <w:p w14:paraId="0C50AE2D"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Several costs which were not previously included in the cap now fall into it. The separate capital expenditure cap of $36 million over a rolling four-year period has been scrapped, and instead the annual depreciation costs are now included. The way teams allocate proportions of people's time spent on F1 projects and non-F1 projects has also changed: costs now need to be 100 percent F1 if any time is spent on F1 at all. That single rule change alone drags a meaningful slice of formerly uncapped labour expense inside the perimeter.</w:t>
      </w:r>
    </w:p>
    <w:p w14:paraId="0E36B46A" w14:textId="77777777" w:rsidR="001E5C3A" w:rsidRPr="001E5C3A" w:rsidRDefault="001E5C3A" w:rsidP="001E5C3A">
      <w:pPr>
        <w:rPr>
          <w:rFonts w:ascii="Times New Roman" w:hAnsi="Times New Roman" w:cs="Times New Roman"/>
          <w:i/>
          <w:iCs/>
        </w:rPr>
      </w:pPr>
      <w:r w:rsidRPr="001E5C3A">
        <w:rPr>
          <w:rFonts w:ascii="Times New Roman" w:hAnsi="Times New Roman" w:cs="Times New Roman"/>
          <w:i/>
          <w:iCs/>
        </w:rPr>
        <w:t>"The pot is $215 million. It is the team's choice if they want to put resources into the mechanics or the junior employees. If you start putting too much pressure on people, you start to lose them. The system is self-policing."</w:t>
      </w:r>
    </w:p>
    <w:p w14:paraId="63B40598"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Federico Lodi, FIA Director of Financial Regulations</w:t>
      </w:r>
    </w:p>
    <w:p w14:paraId="0C47962D"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 xml:space="preserve">The cap has been part of Formula 1 since 2021. A guardrail against </w:t>
      </w:r>
      <w:proofErr w:type="spellStart"/>
      <w:r w:rsidRPr="001E5C3A">
        <w:rPr>
          <w:rFonts w:ascii="Times New Roman" w:hAnsi="Times New Roman" w:cs="Times New Roman"/>
        </w:rPr>
        <w:t>spiralling</w:t>
      </w:r>
      <w:proofErr w:type="spellEnd"/>
      <w:r w:rsidRPr="001E5C3A">
        <w:rPr>
          <w:rFonts w:ascii="Times New Roman" w:hAnsi="Times New Roman" w:cs="Times New Roman"/>
        </w:rPr>
        <w:t xml:space="preserve"> budgets. A way of keeping giants and independents under the same roof. When it was introduced, the ceiling stood at $145 million, decreasing gradually year on year until settling at $135 million from 2023 through 2025. The 2026 revision does not represent a loosening of ambition. It represents the natural evolution of a regulation that has been tested against real-world conditions and found to require greater precision.</w:t>
      </w:r>
    </w:p>
    <w:p w14:paraId="3158FCCA" w14:textId="3D4E0E78" w:rsidR="001E5C3A" w:rsidRPr="001E5C3A" w:rsidRDefault="001E5C3A" w:rsidP="001E5C3A">
      <w:pPr>
        <w:rPr>
          <w:rFonts w:ascii="Times New Roman" w:hAnsi="Times New Roman" w:cs="Times New Roman"/>
        </w:rPr>
      </w:pPr>
      <w:r w:rsidRPr="001E5C3A">
        <w:rPr>
          <w:rFonts w:ascii="Times New Roman" w:hAnsi="Times New Roman" w:cs="Times New Roman"/>
        </w:rPr>
        <w:t xml:space="preserve">The exceptions list deserves its own scrutiny. Outside the cap </w:t>
      </w:r>
      <w:r w:rsidR="00327445" w:rsidRPr="001E5C3A">
        <w:rPr>
          <w:rFonts w:ascii="Times New Roman" w:hAnsi="Times New Roman" w:cs="Times New Roman"/>
        </w:rPr>
        <w:t>remains</w:t>
      </w:r>
      <w:r w:rsidRPr="001E5C3A">
        <w:rPr>
          <w:rFonts w:ascii="Times New Roman" w:hAnsi="Times New Roman" w:cs="Times New Roman"/>
        </w:rPr>
        <w:t xml:space="preserve"> driver salaries, the salaries of the three highest-paid staff members — which usually includes the Team Principal and Chief Technical Officer — costs related to heritage car programmes, and race travel costs. Marketing </w:t>
      </w:r>
      <w:r w:rsidRPr="001E5C3A">
        <w:rPr>
          <w:rFonts w:ascii="Times New Roman" w:hAnsi="Times New Roman" w:cs="Times New Roman"/>
        </w:rPr>
        <w:lastRenderedPageBreak/>
        <w:t>expenditure, legal fees, and infrastructure investment similarly escape the regulatory net. The result is a framework that controls the car but not the empire built around it. At top teams, those excluded categories easily add another $150 to $200 million atop the capped figure, putting real total expenditure for the largest operations comfortably past the $400 million threshold.</w:t>
      </w:r>
    </w:p>
    <w:p w14:paraId="6575EB25" w14:textId="26A5B0A4" w:rsidR="001E5C3A" w:rsidRDefault="001E5C3A" w:rsidP="001E5C3A">
      <w:pPr>
        <w:rPr>
          <w:rFonts w:ascii="Times New Roman" w:hAnsi="Times New Roman" w:cs="Times New Roman"/>
        </w:rPr>
      </w:pPr>
    </w:p>
    <w:tbl>
      <w:tblPr>
        <w:tblStyle w:val="TableGrid"/>
        <w:tblW w:w="9546" w:type="dxa"/>
        <w:jc w:val="center"/>
        <w:tblLook w:val="04A0" w:firstRow="1" w:lastRow="0" w:firstColumn="1" w:lastColumn="0" w:noHBand="0" w:noVBand="1"/>
      </w:tblPr>
      <w:tblGrid>
        <w:gridCol w:w="2386"/>
        <w:gridCol w:w="2386"/>
        <w:gridCol w:w="2387"/>
        <w:gridCol w:w="2387"/>
      </w:tblGrid>
      <w:tr w:rsidR="00B53529" w14:paraId="1288FB8F" w14:textId="77777777" w:rsidTr="00B53529">
        <w:trPr>
          <w:trHeight w:val="1939"/>
          <w:jc w:val="center"/>
        </w:trPr>
        <w:tc>
          <w:tcPr>
            <w:tcW w:w="2386" w:type="dxa"/>
          </w:tcPr>
          <w:p w14:paraId="451BDBE5" w14:textId="77777777" w:rsidR="00B53529" w:rsidRPr="001E5C3A" w:rsidRDefault="00B53529" w:rsidP="00B53529">
            <w:pPr>
              <w:spacing w:after="160" w:line="278" w:lineRule="auto"/>
              <w:jc w:val="center"/>
              <w:rPr>
                <w:rFonts w:ascii="Times New Roman" w:hAnsi="Times New Roman" w:cs="Times New Roman"/>
                <w:b/>
                <w:bCs/>
                <w:sz w:val="40"/>
                <w:szCs w:val="40"/>
              </w:rPr>
            </w:pPr>
            <w:r w:rsidRPr="001E5C3A">
              <w:rPr>
                <w:rFonts w:ascii="Times New Roman" w:hAnsi="Times New Roman" w:cs="Times New Roman"/>
                <w:b/>
                <w:bCs/>
                <w:sz w:val="40"/>
                <w:szCs w:val="40"/>
                <w:vertAlign w:val="superscript"/>
              </w:rPr>
              <w:t>$</w:t>
            </w:r>
            <w:r w:rsidRPr="001E5C3A">
              <w:rPr>
                <w:rFonts w:ascii="Times New Roman" w:hAnsi="Times New Roman" w:cs="Times New Roman"/>
                <w:b/>
                <w:bCs/>
                <w:sz w:val="40"/>
                <w:szCs w:val="40"/>
              </w:rPr>
              <w:t>215M</w:t>
            </w:r>
          </w:p>
          <w:p w14:paraId="4D3B8D09" w14:textId="103DEE4F" w:rsidR="00B53529" w:rsidRPr="00B53529" w:rsidRDefault="00B53529" w:rsidP="00B53529">
            <w:pPr>
              <w:spacing w:after="160" w:line="278" w:lineRule="auto"/>
              <w:jc w:val="center"/>
              <w:rPr>
                <w:rFonts w:ascii="Times New Roman" w:hAnsi="Times New Roman" w:cs="Times New Roman"/>
                <w:sz w:val="40"/>
                <w:szCs w:val="40"/>
              </w:rPr>
            </w:pPr>
            <w:r w:rsidRPr="001E5C3A">
              <w:rPr>
                <w:rFonts w:ascii="Times New Roman" w:hAnsi="Times New Roman" w:cs="Times New Roman"/>
                <w:sz w:val="32"/>
                <w:szCs w:val="32"/>
              </w:rPr>
              <w:t>Chassis cost cap 2026</w:t>
            </w:r>
          </w:p>
        </w:tc>
        <w:tc>
          <w:tcPr>
            <w:tcW w:w="2386" w:type="dxa"/>
          </w:tcPr>
          <w:p w14:paraId="4EAFF176" w14:textId="77777777" w:rsidR="00B53529" w:rsidRPr="001E5C3A" w:rsidRDefault="00B53529" w:rsidP="00B53529">
            <w:pPr>
              <w:spacing w:after="160" w:line="278" w:lineRule="auto"/>
              <w:jc w:val="center"/>
              <w:rPr>
                <w:rFonts w:ascii="Times New Roman" w:hAnsi="Times New Roman" w:cs="Times New Roman"/>
                <w:b/>
                <w:bCs/>
                <w:sz w:val="40"/>
                <w:szCs w:val="40"/>
              </w:rPr>
            </w:pPr>
            <w:r w:rsidRPr="001E5C3A">
              <w:rPr>
                <w:rFonts w:ascii="Times New Roman" w:hAnsi="Times New Roman" w:cs="Times New Roman"/>
                <w:b/>
                <w:bCs/>
                <w:sz w:val="40"/>
                <w:szCs w:val="40"/>
                <w:vertAlign w:val="superscript"/>
              </w:rPr>
              <w:t>$</w:t>
            </w:r>
            <w:r w:rsidRPr="001E5C3A">
              <w:rPr>
                <w:rFonts w:ascii="Times New Roman" w:hAnsi="Times New Roman" w:cs="Times New Roman"/>
                <w:b/>
                <w:bCs/>
                <w:sz w:val="40"/>
                <w:szCs w:val="40"/>
              </w:rPr>
              <w:t>190M</w:t>
            </w:r>
          </w:p>
          <w:p w14:paraId="009E7AE0" w14:textId="32EC0B1E" w:rsidR="00B53529" w:rsidRPr="00B53529" w:rsidRDefault="00B53529" w:rsidP="00B53529">
            <w:pPr>
              <w:spacing w:after="160" w:line="278" w:lineRule="auto"/>
              <w:jc w:val="center"/>
              <w:rPr>
                <w:rFonts w:ascii="Times New Roman" w:hAnsi="Times New Roman" w:cs="Times New Roman"/>
                <w:sz w:val="40"/>
                <w:szCs w:val="40"/>
              </w:rPr>
            </w:pPr>
            <w:r w:rsidRPr="001E5C3A">
              <w:rPr>
                <w:rFonts w:ascii="Times New Roman" w:hAnsi="Times New Roman" w:cs="Times New Roman"/>
                <w:sz w:val="32"/>
                <w:szCs w:val="32"/>
              </w:rPr>
              <w:t>Power unit cap 2026</w:t>
            </w:r>
          </w:p>
        </w:tc>
        <w:tc>
          <w:tcPr>
            <w:tcW w:w="2387" w:type="dxa"/>
          </w:tcPr>
          <w:p w14:paraId="3400B992" w14:textId="77777777" w:rsidR="00B53529" w:rsidRPr="001E5C3A" w:rsidRDefault="00B53529" w:rsidP="00B53529">
            <w:pPr>
              <w:spacing w:after="160" w:line="278" w:lineRule="auto"/>
              <w:jc w:val="center"/>
              <w:rPr>
                <w:rFonts w:ascii="Times New Roman" w:hAnsi="Times New Roman" w:cs="Times New Roman"/>
                <w:b/>
                <w:bCs/>
                <w:sz w:val="40"/>
                <w:szCs w:val="40"/>
              </w:rPr>
            </w:pPr>
            <w:r w:rsidRPr="001E5C3A">
              <w:rPr>
                <w:rFonts w:ascii="Times New Roman" w:hAnsi="Times New Roman" w:cs="Times New Roman"/>
                <w:b/>
                <w:bCs/>
                <w:sz w:val="40"/>
                <w:szCs w:val="40"/>
              </w:rPr>
              <w:t>11</w:t>
            </w:r>
          </w:p>
          <w:p w14:paraId="5ADC865D" w14:textId="24733D24" w:rsidR="00B53529" w:rsidRPr="00B53529" w:rsidRDefault="00B53529" w:rsidP="00B53529">
            <w:pPr>
              <w:spacing w:after="160" w:line="278" w:lineRule="auto"/>
              <w:jc w:val="center"/>
              <w:rPr>
                <w:rFonts w:ascii="Times New Roman" w:hAnsi="Times New Roman" w:cs="Times New Roman"/>
                <w:sz w:val="40"/>
                <w:szCs w:val="40"/>
              </w:rPr>
            </w:pPr>
            <w:r w:rsidRPr="001E5C3A">
              <w:rPr>
                <w:rFonts w:ascii="Times New Roman" w:hAnsi="Times New Roman" w:cs="Times New Roman"/>
                <w:sz w:val="32"/>
                <w:szCs w:val="32"/>
              </w:rPr>
              <w:t>Teams on the grid</w:t>
            </w:r>
          </w:p>
        </w:tc>
        <w:tc>
          <w:tcPr>
            <w:tcW w:w="2387" w:type="dxa"/>
          </w:tcPr>
          <w:p w14:paraId="3D763B8D" w14:textId="77777777" w:rsidR="00B53529" w:rsidRPr="001E5C3A" w:rsidRDefault="00B53529" w:rsidP="00B53529">
            <w:pPr>
              <w:spacing w:after="160" w:line="278" w:lineRule="auto"/>
              <w:jc w:val="center"/>
              <w:rPr>
                <w:rFonts w:ascii="Times New Roman" w:hAnsi="Times New Roman" w:cs="Times New Roman"/>
                <w:b/>
                <w:bCs/>
                <w:sz w:val="40"/>
                <w:szCs w:val="40"/>
              </w:rPr>
            </w:pPr>
            <w:r w:rsidRPr="001E5C3A">
              <w:rPr>
                <w:rFonts w:ascii="Times New Roman" w:hAnsi="Times New Roman" w:cs="Times New Roman"/>
                <w:b/>
                <w:bCs/>
                <w:sz w:val="40"/>
                <w:szCs w:val="40"/>
              </w:rPr>
              <w:t>22</w:t>
            </w:r>
          </w:p>
          <w:p w14:paraId="591B9752" w14:textId="7BD75DFF" w:rsidR="00B53529" w:rsidRPr="00B53529" w:rsidRDefault="00B53529" w:rsidP="00B53529">
            <w:pPr>
              <w:jc w:val="center"/>
              <w:rPr>
                <w:rFonts w:ascii="Times New Roman" w:hAnsi="Times New Roman" w:cs="Times New Roman"/>
                <w:sz w:val="40"/>
                <w:szCs w:val="40"/>
              </w:rPr>
            </w:pPr>
            <w:r w:rsidRPr="001E5C3A">
              <w:rPr>
                <w:rFonts w:ascii="Times New Roman" w:hAnsi="Times New Roman" w:cs="Times New Roman"/>
                <w:sz w:val="32"/>
                <w:szCs w:val="32"/>
              </w:rPr>
              <w:t>Grands Prix this season</w:t>
            </w:r>
          </w:p>
        </w:tc>
      </w:tr>
    </w:tbl>
    <w:p w14:paraId="20A4285D" w14:textId="05BB78D7" w:rsidR="00B53529" w:rsidRPr="001E5C3A" w:rsidRDefault="00C94CCB" w:rsidP="001E5C3A">
      <w:pPr>
        <w:rPr>
          <w:rStyle w:val="SubtleReference"/>
        </w:rPr>
      </w:pPr>
      <w:sdt>
        <w:sdtPr>
          <w:rPr>
            <w:rStyle w:val="SubtleReference"/>
          </w:rPr>
          <w:id w:val="-913468161"/>
          <w:citation/>
        </w:sdtPr>
        <w:sdtContent>
          <w:r w:rsidRPr="00C94CCB">
            <w:rPr>
              <w:rStyle w:val="SubtleReference"/>
            </w:rPr>
            <w:fldChar w:fldCharType="begin"/>
          </w:r>
          <w:r w:rsidRPr="00C94CCB">
            <w:rPr>
              <w:rStyle w:val="SubtleReference"/>
            </w:rPr>
            <w:instrText xml:space="preserve"> CITATION Ter05 \l 1033 </w:instrText>
          </w:r>
          <w:r w:rsidRPr="00C94CCB">
            <w:rPr>
              <w:rStyle w:val="SubtleReference"/>
            </w:rPr>
            <w:fldChar w:fldCharType="separate"/>
          </w:r>
          <w:r w:rsidRPr="00C94CCB">
            <w:rPr>
              <w:rStyle w:val="SubtleReference"/>
            </w:rPr>
            <w:t>(Widdows, 205)</w:t>
          </w:r>
          <w:r w:rsidRPr="00C94CCB">
            <w:rPr>
              <w:rStyle w:val="SubtleReference"/>
            </w:rPr>
            <w:fldChar w:fldCharType="end"/>
          </w:r>
        </w:sdtContent>
      </w:sdt>
    </w:p>
    <w:p w14:paraId="3DBE1771" w14:textId="77777777" w:rsidR="001E5C3A" w:rsidRPr="001E5C3A" w:rsidRDefault="001E5C3A" w:rsidP="00327445">
      <w:pPr>
        <w:pStyle w:val="Heading1"/>
      </w:pPr>
      <w:bookmarkStart w:id="1" w:name="_Toc227598596"/>
      <w:r w:rsidRPr="001E5C3A">
        <w:t>The Separate Engine Arms Race — Capped at $190 Million</w:t>
      </w:r>
      <w:bookmarkEnd w:id="1"/>
    </w:p>
    <w:p w14:paraId="409629E2"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Alongside the chassis budget, Formula 1 operates a parallel financial universe governing the power unit manufacturers. This engine cost cap, which came into effect in 2023 at $95 million per year, has been revised dramatically upward for 2026. It was always intended to be boosted to $130 million plus inflation from 2026 to cover the additional costs of manufacturing, supplying and supporting engines. Following discussions with all stakeholders, the separate capital expenditure cap was removed, and the agreed figure was increased to $190 million.</w:t>
      </w:r>
    </w:p>
    <w:p w14:paraId="5BD1A927"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With around $260 million of total cost cap to play with each season — combining chassis and engine — plus all the excluded costs including driver salaries, it is not difficult to see $400 to $500 million being run through the books of the largest manufacturer outfits. That figure, strikingly, is essentially where spending stood in the unregulated era of the late 2010s. The cost cap has succeeded in codifying and making transparent what was already happening, rather than dramatically reducing it.</w:t>
      </w:r>
    </w:p>
    <w:p w14:paraId="4CD65563" w14:textId="77777777" w:rsidR="00B53529" w:rsidRDefault="001E5C3A" w:rsidP="001E5C3A">
      <w:pPr>
        <w:rPr>
          <w:rFonts w:ascii="Times New Roman" w:hAnsi="Times New Roman" w:cs="Times New Roman"/>
        </w:rPr>
      </w:pPr>
      <w:r w:rsidRPr="001E5C3A">
        <w:rPr>
          <w:rFonts w:ascii="Times New Roman" w:hAnsi="Times New Roman" w:cs="Times New Roman"/>
        </w:rPr>
        <w:t>The 2026 season marks a particularly delicate moment in power unit development. Under this framework, responding to late engineering reinterpretation is not a question of creativity — it is a question of whether the regulations even permit the work to be done without breaching the cap. Development pathways, reliability programmes and manufacturing spend are locked into a fixed envelope. For Honda, which returned to the sport after a partial withdrawal, that fixed envelope came with an estimated $415 million in total development spend to rebuild engine expertise from scratch — a sobering illustration of what re-entry costs when institutional knowledge has been allowed to erode.</w:t>
      </w:r>
    </w:p>
    <w:p w14:paraId="31EB1F47" w14:textId="7DDE21BA" w:rsidR="001E5C3A" w:rsidRPr="001E5C3A" w:rsidRDefault="001E5C3A" w:rsidP="001E5C3A">
      <w:pPr>
        <w:rPr>
          <w:rFonts w:ascii="Times New Roman" w:hAnsi="Times New Roman" w:cs="Times New Roman"/>
        </w:rPr>
      </w:pPr>
    </w:p>
    <w:p w14:paraId="241BA55C" w14:textId="69BD9BFB" w:rsidR="001E5C3A" w:rsidRPr="001E5C3A" w:rsidRDefault="000C6578" w:rsidP="001E5C3A">
      <w:pPr>
        <w:rPr>
          <w:rFonts w:ascii="Times New Roman" w:hAnsi="Times New Roman" w:cs="Times New Roman"/>
        </w:rPr>
      </w:pPr>
      <w:r>
        <w:rPr>
          <w:noProof/>
        </w:rPr>
        <w:lastRenderedPageBreak/>
        <mc:AlternateContent>
          <mc:Choice Requires="wps">
            <w:drawing>
              <wp:anchor distT="0" distB="0" distL="114300" distR="114300" simplePos="0" relativeHeight="251662336" behindDoc="1" locked="0" layoutInCell="1" allowOverlap="1" wp14:anchorId="2A15EE30" wp14:editId="734A5160">
                <wp:simplePos x="0" y="0"/>
                <wp:positionH relativeFrom="column">
                  <wp:posOffset>0</wp:posOffset>
                </wp:positionH>
                <wp:positionV relativeFrom="paragraph">
                  <wp:posOffset>2373630</wp:posOffset>
                </wp:positionV>
                <wp:extent cx="4117340" cy="635"/>
                <wp:effectExtent l="0" t="0" r="0" b="0"/>
                <wp:wrapTight wrapText="bothSides">
                  <wp:wrapPolygon edited="0">
                    <wp:start x="0" y="0"/>
                    <wp:lineTo x="0" y="21600"/>
                    <wp:lineTo x="21600" y="21600"/>
                    <wp:lineTo x="21600" y="0"/>
                  </wp:wrapPolygon>
                </wp:wrapTight>
                <wp:docPr id="849593844" name="Text Box 1"/>
                <wp:cNvGraphicFramePr/>
                <a:graphic xmlns:a="http://schemas.openxmlformats.org/drawingml/2006/main">
                  <a:graphicData uri="http://schemas.microsoft.com/office/word/2010/wordprocessingShape">
                    <wps:wsp>
                      <wps:cNvSpPr txBox="1"/>
                      <wps:spPr>
                        <a:xfrm>
                          <a:off x="0" y="0"/>
                          <a:ext cx="4117340" cy="635"/>
                        </a:xfrm>
                        <a:prstGeom prst="rect">
                          <a:avLst/>
                        </a:prstGeom>
                        <a:solidFill>
                          <a:prstClr val="white"/>
                        </a:solidFill>
                        <a:ln>
                          <a:noFill/>
                        </a:ln>
                      </wps:spPr>
                      <wps:txbx>
                        <w:txbxContent>
                          <w:p w14:paraId="4D12EA91" w14:textId="2D4D8D51" w:rsidR="000C6578" w:rsidRPr="000C6578" w:rsidRDefault="000C6578" w:rsidP="000C6578">
                            <w:pPr>
                              <w:pStyle w:val="Caption"/>
                              <w:rPr>
                                <w:rStyle w:val="SubtleReference"/>
                              </w:rPr>
                            </w:pPr>
                            <w:r w:rsidRPr="000C6578">
                              <w:rPr>
                                <w:rStyle w:val="SubtleReference"/>
                              </w:rPr>
                              <w:t xml:space="preserve">Figure </w:t>
                            </w:r>
                            <w:r w:rsidRPr="000C6578">
                              <w:rPr>
                                <w:rStyle w:val="SubtleReference"/>
                              </w:rPr>
                              <w:fldChar w:fldCharType="begin"/>
                            </w:r>
                            <w:r w:rsidRPr="000C6578">
                              <w:rPr>
                                <w:rStyle w:val="SubtleReference"/>
                              </w:rPr>
                              <w:instrText xml:space="preserve"> SEQ Figure \* ARABIC </w:instrText>
                            </w:r>
                            <w:r w:rsidRPr="000C6578">
                              <w:rPr>
                                <w:rStyle w:val="SubtleReference"/>
                              </w:rPr>
                              <w:fldChar w:fldCharType="separate"/>
                            </w:r>
                            <w:r w:rsidR="00F17DC2">
                              <w:rPr>
                                <w:rStyle w:val="SubtleReference"/>
                                <w:noProof/>
                              </w:rPr>
                              <w:t>1</w:t>
                            </w:r>
                            <w:r w:rsidRPr="000C6578">
                              <w:rPr>
                                <w:rStyle w:val="SubtleReference"/>
                              </w:rPr>
                              <w:fldChar w:fldCharType="end"/>
                            </w:r>
                            <w:r w:rsidRPr="000C6578">
                              <w:rPr>
                                <w:rStyle w:val="SubtleReference"/>
                              </w:rPr>
                              <w:t>-</w:t>
                            </w:r>
                            <w:r w:rsidRPr="000C6578">
                              <w:rPr>
                                <w:rStyle w:val="SubtleReference"/>
                              </w:rPr>
                              <w:t xml:space="preserve"> F1 pit team changing tires.</w:t>
                            </w:r>
                            <w:r w:rsidR="00F17DC2">
                              <w:rPr>
                                <w:rStyle w:val="SubtleReference"/>
                              </w:rPr>
                              <w:t xml:space="preserve"> </w:t>
                            </w:r>
                            <w:sdt>
                              <w:sdtPr>
                                <w:rPr>
                                  <w:rStyle w:val="SubtleReference"/>
                                </w:rPr>
                                <w:id w:val="-1401134096"/>
                                <w:citation/>
                              </w:sdtPr>
                              <w:sdtContent>
                                <w:r w:rsidR="00F17DC2">
                                  <w:rPr>
                                    <w:rStyle w:val="SubtleReference"/>
                                  </w:rPr>
                                  <w:fldChar w:fldCharType="begin"/>
                                </w:r>
                                <w:r w:rsidR="00F17DC2">
                                  <w:rPr>
                                    <w:rStyle w:val="SubtleReference"/>
                                  </w:rPr>
                                  <w:instrText xml:space="preserve"> CITATION Law26 \l 1033 </w:instrText>
                                </w:r>
                                <w:r w:rsidR="00F17DC2">
                                  <w:rPr>
                                    <w:rStyle w:val="SubtleReference"/>
                                  </w:rPr>
                                  <w:fldChar w:fldCharType="separate"/>
                                </w:r>
                                <w:r w:rsidR="00F17DC2" w:rsidRPr="00F17DC2">
                                  <w:rPr>
                                    <w:noProof/>
                                    <w:color w:val="5A5A5A" w:themeColor="text1" w:themeTint="A5"/>
                                  </w:rPr>
                                  <w:t>(Barretto, 2026)</w:t>
                                </w:r>
                                <w:r w:rsidR="00F17DC2">
                                  <w:rPr>
                                    <w:rStyle w:val="SubtleReference"/>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15EE30" id="Text Box 1" o:spid="_x0000_s1027" type="#_x0000_t202" style="position:absolute;margin-left:0;margin-top:186.9pt;width:324.2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" stroked="f">
                <v:textbox style="mso-fit-shape-to-text:t" inset="0,0,0,0">
                  <w:txbxContent>
                    <w:p w14:paraId="4D12EA91" w14:textId="2D4D8D51" w:rsidR="000C6578" w:rsidRPr="000C6578" w:rsidRDefault="000C6578" w:rsidP="000C6578">
                      <w:pPr>
                        <w:pStyle w:val="Caption"/>
                        <w:rPr>
                          <w:rStyle w:val="SubtleReference"/>
                        </w:rPr>
                      </w:pPr>
                      <w:r w:rsidRPr="000C6578">
                        <w:rPr>
                          <w:rStyle w:val="SubtleReference"/>
                        </w:rPr>
                        <w:t xml:space="preserve">Figure </w:t>
                      </w:r>
                      <w:r w:rsidRPr="000C6578">
                        <w:rPr>
                          <w:rStyle w:val="SubtleReference"/>
                        </w:rPr>
                        <w:fldChar w:fldCharType="begin"/>
                      </w:r>
                      <w:r w:rsidRPr="000C6578">
                        <w:rPr>
                          <w:rStyle w:val="SubtleReference"/>
                        </w:rPr>
                        <w:instrText xml:space="preserve"> SEQ Figure \* ARABIC </w:instrText>
                      </w:r>
                      <w:r w:rsidRPr="000C6578">
                        <w:rPr>
                          <w:rStyle w:val="SubtleReference"/>
                        </w:rPr>
                        <w:fldChar w:fldCharType="separate"/>
                      </w:r>
                      <w:r w:rsidR="00F17DC2">
                        <w:rPr>
                          <w:rStyle w:val="SubtleReference"/>
                          <w:noProof/>
                        </w:rPr>
                        <w:t>1</w:t>
                      </w:r>
                      <w:r w:rsidRPr="000C6578">
                        <w:rPr>
                          <w:rStyle w:val="SubtleReference"/>
                        </w:rPr>
                        <w:fldChar w:fldCharType="end"/>
                      </w:r>
                      <w:r w:rsidRPr="000C6578">
                        <w:rPr>
                          <w:rStyle w:val="SubtleReference"/>
                        </w:rPr>
                        <w:t>-</w:t>
                      </w:r>
                      <w:r w:rsidRPr="000C6578">
                        <w:rPr>
                          <w:rStyle w:val="SubtleReference"/>
                        </w:rPr>
                        <w:t xml:space="preserve"> F1 pit team changing tires.</w:t>
                      </w:r>
                      <w:r w:rsidR="00F17DC2">
                        <w:rPr>
                          <w:rStyle w:val="SubtleReference"/>
                        </w:rPr>
                        <w:t xml:space="preserve"> </w:t>
                      </w:r>
                      <w:sdt>
                        <w:sdtPr>
                          <w:rPr>
                            <w:rStyle w:val="SubtleReference"/>
                          </w:rPr>
                          <w:id w:val="-1401134096"/>
                          <w:citation/>
                        </w:sdtPr>
                        <w:sdtContent>
                          <w:r w:rsidR="00F17DC2">
                            <w:rPr>
                              <w:rStyle w:val="SubtleReference"/>
                            </w:rPr>
                            <w:fldChar w:fldCharType="begin"/>
                          </w:r>
                          <w:r w:rsidR="00F17DC2">
                            <w:rPr>
                              <w:rStyle w:val="SubtleReference"/>
                            </w:rPr>
                            <w:instrText xml:space="preserve"> CITATION Law26 \l 1033 </w:instrText>
                          </w:r>
                          <w:r w:rsidR="00F17DC2">
                            <w:rPr>
                              <w:rStyle w:val="SubtleReference"/>
                            </w:rPr>
                            <w:fldChar w:fldCharType="separate"/>
                          </w:r>
                          <w:r w:rsidR="00F17DC2" w:rsidRPr="00F17DC2">
                            <w:rPr>
                              <w:noProof/>
                              <w:color w:val="5A5A5A" w:themeColor="text1" w:themeTint="A5"/>
                            </w:rPr>
                            <w:t>(Barretto, 2026)</w:t>
                          </w:r>
                          <w:r w:rsidR="00F17DC2">
                            <w:rPr>
                              <w:rStyle w:val="SubtleReference"/>
                            </w:rPr>
                            <w:fldChar w:fldCharType="end"/>
                          </w:r>
                        </w:sdtContent>
                      </w:sdt>
                    </w:p>
                  </w:txbxContent>
                </v:textbox>
                <w10:wrap type="tight"/>
              </v:shape>
            </w:pict>
          </mc:Fallback>
        </mc:AlternateContent>
      </w:r>
      <w:r w:rsidR="00854A9D">
        <w:rPr>
          <w:noProof/>
        </w:rPr>
        <w:drawing>
          <wp:anchor distT="0" distB="0" distL="114300" distR="114300" simplePos="0" relativeHeight="251660288" behindDoc="1" locked="0" layoutInCell="1" allowOverlap="1" wp14:anchorId="11D776D4" wp14:editId="5FE02EC3">
            <wp:simplePos x="0" y="0"/>
            <wp:positionH relativeFrom="margin">
              <wp:align>left</wp:align>
            </wp:positionH>
            <wp:positionV relativeFrom="paragraph">
              <wp:posOffset>0</wp:posOffset>
            </wp:positionV>
            <wp:extent cx="4117340" cy="2316480"/>
            <wp:effectExtent l="0" t="0" r="0" b="7620"/>
            <wp:wrapTight wrapText="bothSides">
              <wp:wrapPolygon edited="0">
                <wp:start x="0" y="0"/>
                <wp:lineTo x="0" y="21493"/>
                <wp:lineTo x="21487" y="21493"/>
                <wp:lineTo x="21487" y="0"/>
                <wp:lineTo x="0" y="0"/>
              </wp:wrapPolygon>
            </wp:wrapTight>
            <wp:docPr id="155324679" name="Picture 3" descr="Watch McLaren’s incredible world record pit stop | Top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Watch McLaren’s incredible world record pit stop | Top Gea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7340" cy="2316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5C3A" w:rsidRPr="001E5C3A">
        <w:rPr>
          <w:rFonts w:ascii="Times New Roman" w:hAnsi="Times New Roman" w:cs="Times New Roman"/>
          <w:i/>
          <w:iCs/>
        </w:rPr>
        <w:t>The modern pit lane: each of the hundreds of mechanics visible here sits within — or outside — the $215 million cap depending on their precise role, illustrating the complexity of the regulatory arithmetic teams navigate each season.</w:t>
      </w:r>
    </w:p>
    <w:p w14:paraId="4395D5DE" w14:textId="4DBE2D44" w:rsidR="001E5C3A" w:rsidRPr="001E5C3A" w:rsidRDefault="001E5C3A" w:rsidP="00B53529">
      <w:pPr>
        <w:pStyle w:val="Heading1"/>
      </w:pPr>
      <w:bookmarkStart w:id="2" w:name="_Toc227598597"/>
      <w:r w:rsidRPr="007338C0">
        <w:t>Prize Money,</w:t>
      </w:r>
      <w:r w:rsidRPr="001E5C3A">
        <w:t xml:space="preserve"> Sponsorship, and the Art of Commercial Survival</w:t>
      </w:r>
      <w:bookmarkEnd w:id="2"/>
    </w:p>
    <w:p w14:paraId="663A84F5"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Money enters a Formula 1 team through three primary channels: the prize fund distributed by Liberty Media, sponsorship income negotiated directly with commercial partners, and, where applicable, financial backing from parent manufacturers. The proportions vary dramatically depending on where a team sits in the constructor standings and how aggressively its commercial department operates.</w:t>
      </w:r>
    </w:p>
    <w:p w14:paraId="6E0B86A4"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Under the terms of the Concorde Agreement, Liberty Media distributes roughly 45 to 50 percent of Formula 1's primary revenue back to the teams. In 2025, that resulted in a total payout of $1.4 billion across the grid, split far from equally. The methodology rewards championship performance, longevity, and historical stature in roughly equal measure — which is why Ferrari, despite not winning the 2024 title, topped the 2025 payout table at an estimated $277.7 million, combining a strong championship performance share with a unique LST — Long Standing Team — bonus worth approximately 5 percent of the total prize fund, around $63 million, simply for being the only team to have competed in every Formula 1 season since 1950.</w:t>
      </w:r>
    </w:p>
    <w:p w14:paraId="4B392109"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Sponsorship, meanwhile, has become the largest single revenue stream for most teams. Sponsorships account for 40 to 60 percent of team revenue, with even smaller teams securing between 15 and 25 sponsors each, with deals ranging from $1 million to $50 million or more annually. Top teams command premium rates while backmarkers struggle to justify high fees when they rarely appear prominently on television. The arrival of Cadillac on the 2026 grid adds further inventory to the sponsorship market, but also fragments the prize pool an additional time, diluting individual team payments.</w:t>
      </w:r>
    </w:p>
    <w:p w14:paraId="69B53FFE" w14:textId="77777777" w:rsidR="001E5C3A" w:rsidRPr="001E5C3A" w:rsidRDefault="001E5C3A" w:rsidP="001E5C3A">
      <w:pPr>
        <w:rPr>
          <w:rFonts w:ascii="Times New Roman" w:hAnsi="Times New Roman" w:cs="Times New Roman"/>
          <w:i/>
          <w:iCs/>
        </w:rPr>
      </w:pPr>
      <w:r w:rsidRPr="001E5C3A">
        <w:rPr>
          <w:rFonts w:ascii="Times New Roman" w:hAnsi="Times New Roman" w:cs="Times New Roman"/>
          <w:i/>
          <w:iCs/>
        </w:rPr>
        <w:lastRenderedPageBreak/>
        <w:t>"Mastercard joined McLaren as a naming partner in 2025 and becomes the team's title sponsor from 2026, with the deal reported at £74 million annually — proof that winning converts directly and immediately into commercial gold."</w:t>
      </w:r>
    </w:p>
    <w:p w14:paraId="6964D86D"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Sourced from McLaren Racing financial filings and industry reporting</w:t>
      </w:r>
    </w:p>
    <w:p w14:paraId="5CCFAFAD" w14:textId="77777777" w:rsidR="001E5C3A" w:rsidRDefault="001E5C3A" w:rsidP="001E5C3A">
      <w:pPr>
        <w:rPr>
          <w:rFonts w:ascii="Times New Roman" w:hAnsi="Times New Roman" w:cs="Times New Roman"/>
        </w:rPr>
      </w:pPr>
      <w:r w:rsidRPr="001E5C3A">
        <w:rPr>
          <w:rFonts w:ascii="Times New Roman" w:hAnsi="Times New Roman" w:cs="Times New Roman"/>
        </w:rPr>
        <w:t>The broadcast rights dimension has shifted significantly for the 2026 season. Apple secured exclusive US broadcasting rights for five years starting 2026, reported at around $140 to $150 million per season. ESPN's previous deal was worth around $85 to $90 million annually, representing a 50 to 70 percent increase depending on the reported figure used. That incremental revenue flows back into the prize fund pool, meaning every team on the grid benefits from the American market's deepening love affair with the sport.</w:t>
      </w:r>
    </w:p>
    <w:p w14:paraId="422764E6" w14:textId="5175DEB2" w:rsidR="00B53529" w:rsidRDefault="00B53529" w:rsidP="001E5C3A">
      <w:pPr>
        <w:rPr>
          <w:rFonts w:ascii="Times New Roman" w:hAnsi="Times New Roman" w:cs="Times New Roman"/>
        </w:rPr>
      </w:pPr>
    </w:p>
    <w:p w14:paraId="531BF4FC" w14:textId="77777777" w:rsidR="00110D39" w:rsidRDefault="00B53529" w:rsidP="00110D39">
      <w:pPr>
        <w:keepNext/>
      </w:pPr>
      <w:bookmarkStart w:id="3" w:name="_Toc227592359"/>
      <w:r>
        <w:rPr>
          <w:noProof/>
        </w:rPr>
        <w:drawing>
          <wp:inline distT="0" distB="0" distL="0" distR="0" wp14:anchorId="55619505" wp14:editId="0147BC27">
            <wp:extent cx="5486400" cy="3200400"/>
            <wp:effectExtent l="0" t="0" r="0" b="0"/>
            <wp:docPr id="32619028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bookmarkEnd w:id="3"/>
    </w:p>
    <w:p w14:paraId="0B63DEB3" w14:textId="1965FA80" w:rsidR="00854A9D" w:rsidRPr="000C6578" w:rsidRDefault="00110D39" w:rsidP="00110D39">
      <w:pPr>
        <w:pStyle w:val="Caption"/>
        <w:rPr>
          <w:rStyle w:val="SubtleReference"/>
          <w:sz w:val="22"/>
          <w:szCs w:val="22"/>
        </w:rPr>
      </w:pPr>
      <w:r w:rsidRPr="000C6578">
        <w:rPr>
          <w:rStyle w:val="SubtleReference"/>
          <w:sz w:val="22"/>
          <w:szCs w:val="22"/>
        </w:rPr>
        <w:t xml:space="preserve">Table </w:t>
      </w:r>
      <w:r w:rsidRPr="000C6578">
        <w:rPr>
          <w:rStyle w:val="SubtleReference"/>
          <w:sz w:val="22"/>
          <w:szCs w:val="22"/>
        </w:rPr>
        <w:fldChar w:fldCharType="begin"/>
      </w:r>
      <w:r w:rsidRPr="000C6578">
        <w:rPr>
          <w:rStyle w:val="SubtleReference"/>
          <w:sz w:val="22"/>
          <w:szCs w:val="22"/>
        </w:rPr>
        <w:instrText xml:space="preserve"> SEQ Table \* ARABIC </w:instrText>
      </w:r>
      <w:r w:rsidRPr="000C6578">
        <w:rPr>
          <w:rStyle w:val="SubtleReference"/>
          <w:sz w:val="22"/>
          <w:szCs w:val="22"/>
        </w:rPr>
        <w:fldChar w:fldCharType="separate"/>
      </w:r>
      <w:r w:rsidRPr="000C6578">
        <w:rPr>
          <w:rStyle w:val="SubtleReference"/>
          <w:sz w:val="22"/>
          <w:szCs w:val="22"/>
        </w:rPr>
        <w:t>1</w:t>
      </w:r>
      <w:r w:rsidRPr="000C6578">
        <w:rPr>
          <w:rStyle w:val="SubtleReference"/>
          <w:sz w:val="22"/>
          <w:szCs w:val="22"/>
        </w:rPr>
        <w:fldChar w:fldCharType="end"/>
      </w:r>
      <w:r w:rsidRPr="000C6578">
        <w:rPr>
          <w:rStyle w:val="SubtleReference"/>
          <w:sz w:val="22"/>
          <w:szCs w:val="22"/>
        </w:rPr>
        <w:t xml:space="preserve"> </w:t>
      </w:r>
      <w:r w:rsidRPr="000C6578">
        <w:rPr>
          <w:rStyle w:val="SubtleReference"/>
          <w:sz w:val="22"/>
          <w:szCs w:val="22"/>
        </w:rPr>
        <w:t>– Estimated revenue breakdown by team tier – 2026 season</w:t>
      </w:r>
      <w:r w:rsidR="00F17DC2">
        <w:rPr>
          <w:rStyle w:val="SubtleReference"/>
          <w:sz w:val="22"/>
          <w:szCs w:val="22"/>
        </w:rPr>
        <w:t xml:space="preserve">, </w:t>
      </w:r>
      <w:sdt>
        <w:sdtPr>
          <w:rPr>
            <w:rStyle w:val="SubtleReference"/>
            <w:sz w:val="22"/>
            <w:szCs w:val="22"/>
          </w:rPr>
          <w:id w:val="-829372091"/>
          <w:citation/>
        </w:sdtPr>
        <w:sdtContent>
          <w:r w:rsidR="00F17DC2">
            <w:rPr>
              <w:rStyle w:val="SubtleReference"/>
              <w:sz w:val="22"/>
              <w:szCs w:val="22"/>
            </w:rPr>
            <w:fldChar w:fldCharType="begin"/>
          </w:r>
          <w:r w:rsidR="00F17DC2">
            <w:rPr>
              <w:rStyle w:val="SubtleReference"/>
              <w:sz w:val="22"/>
              <w:szCs w:val="22"/>
            </w:rPr>
            <w:instrText xml:space="preserve"> CITATION Mat26 \l 1033 </w:instrText>
          </w:r>
          <w:r w:rsidR="00F17DC2">
            <w:rPr>
              <w:rStyle w:val="SubtleReference"/>
              <w:sz w:val="22"/>
              <w:szCs w:val="22"/>
            </w:rPr>
            <w:fldChar w:fldCharType="separate"/>
          </w:r>
          <w:r w:rsidR="00F17DC2" w:rsidRPr="00F17DC2">
            <w:rPr>
              <w:noProof/>
              <w:color w:val="5A5A5A" w:themeColor="text1" w:themeTint="A5"/>
              <w:sz w:val="22"/>
              <w:szCs w:val="22"/>
            </w:rPr>
            <w:t>(Coch, 2026)</w:t>
          </w:r>
          <w:r w:rsidR="00F17DC2">
            <w:rPr>
              <w:rStyle w:val="SubtleReference"/>
              <w:sz w:val="22"/>
              <w:szCs w:val="22"/>
            </w:rPr>
            <w:fldChar w:fldCharType="end"/>
          </w:r>
        </w:sdtContent>
      </w:sdt>
    </w:p>
    <w:p w14:paraId="7CF57B78" w14:textId="4866F059" w:rsidR="00110D39" w:rsidRPr="00110D39" w:rsidRDefault="00110D39" w:rsidP="00110D39">
      <w:pPr>
        <w:rPr>
          <w:noProof/>
        </w:rPr>
      </w:pPr>
      <w:r w:rsidRPr="00110D39">
        <w:t>The gap between the grid's wealthiest and most constrained operations remains vast. Ferrari, with estimated revenue streams of over $720 million, prize money that routinely surpasses $100 million, and sponsorship income thought to be around $300 million, produces an operating profit of about $150 million. At the opposite end, a team like Haas generates around $150 million in revenue through a mixture of sponsorship and prize money payments — enough to cover the cost cap element of the sport and produce an operating profit of just $9 million. These are not merely different financial situations. They represent fundamentally different businesses operating under the same sporting banner.</w:t>
      </w:r>
      <w:r>
        <w:t>.</w:t>
      </w:r>
    </w:p>
    <w:p w14:paraId="17B20F89" w14:textId="77777777" w:rsidR="001E5C3A" w:rsidRPr="001E5C3A" w:rsidRDefault="001E5C3A" w:rsidP="00327445">
      <w:pPr>
        <w:pStyle w:val="Heading1"/>
      </w:pPr>
      <w:bookmarkStart w:id="4" w:name="_Toc227598598"/>
      <w:r w:rsidRPr="001E5C3A">
        <w:lastRenderedPageBreak/>
        <w:t>Where the Money Goes: Personnel, Aerodynamics, and the Race Weekend</w:t>
      </w:r>
      <w:bookmarkEnd w:id="4"/>
    </w:p>
    <w:p w14:paraId="250AC241"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Inside the $215 million chassis cap, the allocation decisions are among the most consequential a technical leadership team makes across the entire year. Every dollar spent on aerodynamic simulation is a dollar not available for manufacturing spare components. Every engineer hired into the wind tunnel department is a contract that constrains flexibility elsewhere. The cost cap has transformed what was once an engineering challenge into an exercise in financial portfolio management.</w:t>
      </w:r>
    </w:p>
    <w:p w14:paraId="28CAF608"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The budget cap applies to all expenses directly related to on-track performance — everything that involves the design, manufacture, operation, and development of the Formula 1 car. This includes all car components from the chassis to wheel nuts, including suspension and aerodynamic parts; manufacturing and maintenance costs; salaries for most personnel including engineers, mechanics and technical staff; use of the wind tunnel and simulator; transportation of equipment to all Grands Prix; and development and research expenses related to car performance.</w:t>
      </w:r>
    </w:p>
    <w:p w14:paraId="0D4D5026"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Within the cap, personnel costs typically represent the single largest line item. A senior aerodynamicist at a front-running team commands between $180,000 and $300,000 annually. F1 engineer salaries in 2026 range from approximately $30,000 for graduates to over $400,000 for senior technical directors. Those costs sit within the cap, except for the top three executives, whose remuneration falls outside it entirely.</w:t>
      </w:r>
    </w:p>
    <w:p w14:paraId="6A0880F8"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Research and development — wind tunnel time, CFD computing, simulator sessions — absorbs a substantial share. The aero handicap system, which restricts wind tunnel access for the top constructor finishers, compounds the cost pressure for leading teams: they must achieve more insight per unit of aerodynamic resource, at a time when the 2026 regulations have reset every car design from a clean sheet.</w:t>
      </w:r>
    </w:p>
    <w:p w14:paraId="634888A7"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Driver salaries remain the most conspicuous excluded category. Formula 1 spent $324 million on driver salaries in 2026. That figure — representing the combined earnings of 22 drivers across 11 teams — falls entirely outside the cost cap perimeter. At Ferrari, Lewis Hamilton commands a reported $50 million base retainer. At Aston Martin, the structural advantage of having signed Adrian Newey remains shielded from cap accounting: the regulations state the two highest-paid team members, excluding drivers, are exempt from the spending limit. Newey's compensation, by any reasonable market estimate, exceeds $10 million annually — free money, from a regulatory standpoint.</w:t>
      </w:r>
    </w:p>
    <w:p w14:paraId="70AF5159"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 xml:space="preserve">The race weekend itself represents a distinct and considerable cost </w:t>
      </w:r>
      <w:proofErr w:type="spellStart"/>
      <w:r w:rsidRPr="001E5C3A">
        <w:rPr>
          <w:rFonts w:ascii="Times New Roman" w:hAnsi="Times New Roman" w:cs="Times New Roman"/>
        </w:rPr>
        <w:t>centre</w:t>
      </w:r>
      <w:proofErr w:type="spellEnd"/>
      <w:r w:rsidRPr="001E5C3A">
        <w:rPr>
          <w:rFonts w:ascii="Times New Roman" w:hAnsi="Times New Roman" w:cs="Times New Roman"/>
        </w:rPr>
        <w:t xml:space="preserve">. Logistics — shipping freight, setting up and breaking down a garage across 22 </w:t>
      </w:r>
      <w:proofErr w:type="spellStart"/>
      <w:r w:rsidRPr="001E5C3A">
        <w:rPr>
          <w:rFonts w:ascii="Times New Roman" w:hAnsi="Times New Roman" w:cs="Times New Roman"/>
        </w:rPr>
        <w:t>Grands</w:t>
      </w:r>
      <w:proofErr w:type="spellEnd"/>
      <w:r w:rsidRPr="001E5C3A">
        <w:rPr>
          <w:rFonts w:ascii="Times New Roman" w:hAnsi="Times New Roman" w:cs="Times New Roman"/>
        </w:rPr>
        <w:t xml:space="preserve"> Prix on five continents, catering, hospitality — runs to tens of millions for a top operation. Race travel costs for staff are </w:t>
      </w:r>
      <w:r w:rsidRPr="001E5C3A">
        <w:rPr>
          <w:rFonts w:ascii="Times New Roman" w:hAnsi="Times New Roman" w:cs="Times New Roman"/>
        </w:rPr>
        <w:lastRenderedPageBreak/>
        <w:t>excluded from the cap, which provides some relief. But the sheer complexity of sustaining a competitive field presence at circuits from Melbourne to São Paulo demands infrastructure investment that has no off-season.</w:t>
      </w:r>
    </w:p>
    <w:p w14:paraId="2F6F440B" w14:textId="77777777" w:rsidR="001E5C3A" w:rsidRPr="001E5C3A" w:rsidRDefault="001E5C3A" w:rsidP="00327445">
      <w:pPr>
        <w:pStyle w:val="Heading1"/>
      </w:pPr>
      <w:bookmarkStart w:id="5" w:name="_Toc227598599"/>
      <w:r w:rsidRPr="001E5C3A">
        <w:t>From Money Pit to Financial Asset: The Transformation of Team Valuations</w:t>
      </w:r>
      <w:bookmarkEnd w:id="5"/>
    </w:p>
    <w:p w14:paraId="5A922E10" w14:textId="77777777" w:rsidR="001E5C3A" w:rsidRDefault="001E5C3A" w:rsidP="001E5C3A">
      <w:pPr>
        <w:rPr>
          <w:rFonts w:ascii="Times New Roman" w:hAnsi="Times New Roman" w:cs="Times New Roman"/>
        </w:rPr>
      </w:pPr>
      <w:r w:rsidRPr="001E5C3A">
        <w:rPr>
          <w:rFonts w:ascii="Times New Roman" w:hAnsi="Times New Roman" w:cs="Times New Roman"/>
        </w:rPr>
        <w:t>Before 2021, Formula 1 team ownership was, for most investors, a magnificent vanity project with catastrophic economics. Top teams routinely spent $400 million or more annually while generating revenues considerably below that figure. The cost cap changed the mathematics of the sport entirely. Because combined revenue from prize money and sponsorship now regularly exceeds $300 million for most teams, Formula 1 outfits have structurally shifted from money pits to entities that generate profit. The transformation has been swift, dramatic, and — for those who invested before the inflection point — extremely rewarding.</w:t>
      </w:r>
    </w:p>
    <w:p w14:paraId="4D0D0394" w14:textId="77777777" w:rsidR="00F17DC2" w:rsidRDefault="00F17DC2" w:rsidP="00F17DC2">
      <w:pPr>
        <w:keepNext/>
      </w:pPr>
      <w:r>
        <w:rPr>
          <w:rFonts w:ascii="Times New Roman" w:hAnsi="Times New Roman" w:cs="Times New Roman"/>
          <w:noProof/>
        </w:rPr>
        <w:drawing>
          <wp:inline distT="0" distB="0" distL="0" distR="0" wp14:anchorId="7C60F409" wp14:editId="3F8A7916">
            <wp:extent cx="5486400" cy="3200400"/>
            <wp:effectExtent l="0" t="0" r="0" b="0"/>
            <wp:docPr id="154720906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E535466" w14:textId="49B7227D" w:rsidR="00F17DC2" w:rsidRDefault="00F17DC2" w:rsidP="001E5C3A">
      <w:pPr>
        <w:rPr>
          <w:rFonts w:ascii="Times New Roman" w:hAnsi="Times New Roman" w:cs="Times New Roman"/>
        </w:rPr>
      </w:pPr>
      <w:r w:rsidRPr="00F17DC2">
        <w:rPr>
          <w:rStyle w:val="SubtleReference"/>
        </w:rPr>
        <w:t xml:space="preserve">Table 1 </w:t>
      </w:r>
      <w:sdt>
        <w:sdtPr>
          <w:rPr>
            <w:rFonts w:ascii="Times New Roman" w:hAnsi="Times New Roman" w:cs="Times New Roman"/>
          </w:rPr>
          <w:id w:val="1621963493"/>
          <w:citation/>
        </w:sdtPr>
        <w:sdtContent>
          <w:r>
            <w:rPr>
              <w:rFonts w:ascii="Times New Roman" w:hAnsi="Times New Roman" w:cs="Times New Roman"/>
            </w:rPr>
            <w:fldChar w:fldCharType="begin"/>
          </w:r>
          <w:r>
            <w:rPr>
              <w:rStyle w:val="SubtleReference"/>
              <w:i/>
              <w:iCs/>
              <w:sz w:val="18"/>
              <w:szCs w:val="18"/>
            </w:rPr>
            <w:instrText xml:space="preserve"> CITATION Law26 \l 1033 </w:instrText>
          </w:r>
          <w:r>
            <w:rPr>
              <w:rFonts w:ascii="Times New Roman" w:hAnsi="Times New Roman" w:cs="Times New Roman"/>
            </w:rPr>
            <w:fldChar w:fldCharType="separate"/>
          </w:r>
          <w:r w:rsidRPr="00F17DC2">
            <w:rPr>
              <w:noProof/>
              <w:color w:val="5A5A5A" w:themeColor="text1" w:themeTint="A5"/>
              <w:sz w:val="18"/>
              <w:szCs w:val="18"/>
            </w:rPr>
            <w:t>(Barretto, 2026)</w:t>
          </w:r>
          <w:r>
            <w:rPr>
              <w:rFonts w:ascii="Times New Roman" w:hAnsi="Times New Roman" w:cs="Times New Roman"/>
            </w:rPr>
            <w:fldChar w:fldCharType="end"/>
          </w:r>
        </w:sdtContent>
      </w:sdt>
    </w:p>
    <w:p w14:paraId="34FE1460" w14:textId="6A0E36A5" w:rsidR="001E5C3A" w:rsidRPr="001E5C3A" w:rsidRDefault="001E5C3A" w:rsidP="001E5C3A">
      <w:pPr>
        <w:rPr>
          <w:rFonts w:ascii="Times New Roman" w:hAnsi="Times New Roman" w:cs="Times New Roman"/>
        </w:rPr>
      </w:pPr>
      <w:r w:rsidRPr="001E5C3A">
        <w:rPr>
          <w:rFonts w:ascii="Times New Roman" w:hAnsi="Times New Roman" w:cs="Times New Roman"/>
        </w:rPr>
        <w:t>Top teams like Ferrari and Mercedes are approaching the $10 billion mark in enterprise valuation. Ferrari's status is unique: it is the only team to have contested every championship since 1950, which grants it the Long Standing Team bonus and an irreplaceable commercial heritage that no amount of on-track success by a rival can replicate. Mercedes, meanwhile, is one of the most profitable sports teams on the planet with an operating income of around $227 million — a figure that would have seemed fantastical to Ross Brawn when he acquired the team for a symbolic pound from Honda in 2009.</w:t>
      </w:r>
    </w:p>
    <w:p w14:paraId="12606452"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lastRenderedPageBreak/>
        <w:t xml:space="preserve">For newer entrants, the arithmetic is equally compelling, if more patient in its payoff. Cadillac's arrival on the 2026 grid required an anti-dilution payment of $450 million simply to join the Concorde Agreement — a sum that reflected what an automatic entitlement to prize money and the commercial rights associated with grid membership is actually worth. With an instant entitlement to prize money, the valuation of the Cadillac </w:t>
      </w:r>
      <w:proofErr w:type="spellStart"/>
      <w:r w:rsidRPr="001E5C3A">
        <w:rPr>
          <w:rFonts w:ascii="Times New Roman" w:hAnsi="Times New Roman" w:cs="Times New Roman"/>
        </w:rPr>
        <w:t>organisation</w:t>
      </w:r>
      <w:proofErr w:type="spellEnd"/>
      <w:r w:rsidRPr="001E5C3A">
        <w:rPr>
          <w:rFonts w:ascii="Times New Roman" w:hAnsi="Times New Roman" w:cs="Times New Roman"/>
        </w:rPr>
        <w:t xml:space="preserve"> is likely to rise sharply as revenue increases following its inaugural season of racing.</w:t>
      </w:r>
    </w:p>
    <w:p w14:paraId="16F54F2B" w14:textId="77777777" w:rsidR="001E5C3A" w:rsidRPr="001E5C3A" w:rsidRDefault="001E5C3A" w:rsidP="001E5C3A">
      <w:pPr>
        <w:rPr>
          <w:rFonts w:ascii="Times New Roman" w:hAnsi="Times New Roman" w:cs="Times New Roman"/>
          <w:i/>
          <w:iCs/>
        </w:rPr>
      </w:pPr>
      <w:r w:rsidRPr="001E5C3A">
        <w:rPr>
          <w:rFonts w:ascii="Times New Roman" w:hAnsi="Times New Roman" w:cs="Times New Roman"/>
          <w:i/>
          <w:iCs/>
        </w:rPr>
        <w:t>"McLaren proves Formula 1 teams can be profitable — but only through winning championships and converting success into premium sponsorships. The Mastercard deal beginning in 2026 is the clearest evidence yet that titles translate directly to balance sheet strength."</w:t>
      </w:r>
    </w:p>
    <w:p w14:paraId="5BEAF2FF"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Compiled from McLaren Racing financial filings, 2025</w:t>
      </w:r>
    </w:p>
    <w:p w14:paraId="5F78FA53"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The private equity community has arrived at the same conclusion. These firms see five to ten year paths to profits through revenue growth from calendar expansion, sponsorship increases as the sport's popularity surges, cost control via the budget cap, and potential sales to automobile manufacturers or billionaires at higher valuations. Private equity bets that team valuations will rise 30 to 50 percent annually for five to seven years. They do not need teams to become profitable if valuations keep doubling every three to four years. The sport has become, in financial terms, a leveraged asset class as much as a competition.</w:t>
      </w:r>
    </w:p>
    <w:p w14:paraId="033674E3" w14:textId="77777777" w:rsidR="001E5C3A" w:rsidRPr="001E5C3A" w:rsidRDefault="001E5C3A" w:rsidP="00327445">
      <w:pPr>
        <w:pStyle w:val="Heading1"/>
      </w:pPr>
      <w:bookmarkStart w:id="6" w:name="_Toc227598600"/>
      <w:r w:rsidRPr="001E5C3A">
        <w:t xml:space="preserve">Switzerland, </w:t>
      </w:r>
      <w:proofErr w:type="spellStart"/>
      <w:r w:rsidRPr="001E5C3A">
        <w:t>Hinwil</w:t>
      </w:r>
      <w:proofErr w:type="spellEnd"/>
      <w:r w:rsidRPr="001E5C3A">
        <w:t>, and the Geography of Financial Disadvantage</w:t>
      </w:r>
      <w:bookmarkEnd w:id="6"/>
    </w:p>
    <w:p w14:paraId="5B2ECF93"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 xml:space="preserve">One of the most technically interesting provisions in the 2026 financial regulations concerns Audi — or more precisely, Audi's base of operations. Sauber, which became Audi's factory team starting in 2026, is based in </w:t>
      </w:r>
      <w:proofErr w:type="spellStart"/>
      <w:r w:rsidRPr="001E5C3A">
        <w:rPr>
          <w:rFonts w:ascii="Times New Roman" w:hAnsi="Times New Roman" w:cs="Times New Roman"/>
        </w:rPr>
        <w:t>Hinwil</w:t>
      </w:r>
      <w:proofErr w:type="spellEnd"/>
      <w:r w:rsidRPr="001E5C3A">
        <w:rPr>
          <w:rFonts w:ascii="Times New Roman" w:hAnsi="Times New Roman" w:cs="Times New Roman"/>
        </w:rPr>
        <w:t>, Switzerland, and faces significantly higher average wages than in the United Kingdom or Italy, where most other Formula 1 teams are based. According to OECD data, the average annual salary in Switzerland was $80,000 in 2022, compared to $54,000 in the United Kingdom. This disparity directly impacts Sauber's ability to invest as much as its rivals in pure performance, as staff costs take up a larger share of its budget cap.</w:t>
      </w:r>
    </w:p>
    <w:p w14:paraId="2DDE3391"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To address this, the FIA included a compensation mechanism in the 2026 Financial Regulations based on these wage differences, allowing teams based in high-cost countries to benefit from additional budgetary flexibility. It is a pragmatic acknowledgment that a global regulation applied to a genuinely global sport must account for the material differences in labour markets across jurisdictions. Whether this mechanism proves sufficient for Audi to compete on equal footing with the established British-based operations — Red Bull, Mercedes, McLaren, Williams, Aston Martin — remains to be seen across this inaugural season.</w:t>
      </w:r>
    </w:p>
    <w:p w14:paraId="406D0124"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 xml:space="preserve">The departure of the UK Research and Development tax credit scheme from the calculations adds a further complication. Teams will no longer be allowed to deduct certain R&amp;D expenses </w:t>
      </w:r>
      <w:r w:rsidRPr="001E5C3A">
        <w:rPr>
          <w:rFonts w:ascii="Times New Roman" w:hAnsi="Times New Roman" w:cs="Times New Roman"/>
        </w:rPr>
        <w:lastRenderedPageBreak/>
        <w:t>under the UK R&amp;D tax credit scheme, which previously enabled them to deduct part of their innovation investments. That change particularly affects those based in England — the majority of the grid — and quietly reduces the effective value of their cost cap allocation relative to prior seasons, even as the headline number has risen.</w:t>
      </w:r>
    </w:p>
    <w:p w14:paraId="737A0200" w14:textId="77777777" w:rsidR="001E5C3A" w:rsidRPr="001E5C3A" w:rsidRDefault="001E5C3A" w:rsidP="00327445">
      <w:pPr>
        <w:pStyle w:val="Heading1"/>
      </w:pPr>
      <w:bookmarkStart w:id="7" w:name="_Toc227598601"/>
      <w:r w:rsidRPr="001E5C3A">
        <w:t>The $400 Million Question: Is the Level Playing Field an Illusion?</w:t>
      </w:r>
      <w:bookmarkEnd w:id="7"/>
    </w:p>
    <w:p w14:paraId="2AAB9DCE"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The cost cap's most strident critics argue that it has codified inequality rather than eliminated it. The 20 to 25 exemptions negotiated into the 2026 rules — compared to the five or six the FIA originally envisioned — represent genuine erosion of the regulation's intended scope. Driver salaries, top executive pay, marketing infrastructure, factory construction, and legal costs all remain free terrain for those with the resources to deploy them. In 2026, after three years of implementation and escalating to $375 million including driver and power unit costs, the critical question remains: is the system actually working?</w:t>
      </w:r>
    </w:p>
    <w:p w14:paraId="14D1BF94"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The honest answer is: partially. The floor of the sport has risen. Sauber, tenth in the Constructors' Championship, still collected a reported $63.1 million in prize money — a figure that would have been unthinkable as a minimum distribution in the unregulated era. Teams that were financially fragile a decade ago are now posting profits. The gap between the very top and the very bottom has narrowed, even if it has not closed. Races have become more competitive. Victories have been shared across more teams than at any point in the hybrid era.</w:t>
      </w:r>
    </w:p>
    <w:p w14:paraId="4DAF5F24"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But the largest manufacturers still operate with advantages measured not in millions but in categories — brand equity, technology transfer to road car programmes, intellectual property development, global marketing exposure — that the cost cap was never designed to touch. Mercedes treats Formula 1 as a high-performance marketing laboratory. Every innovation tested in the sport feeds directly into Mercedes-AMG road car development. The team does not just sell sponsorships and collect prize money — it generates intellectual property worth hundreds of millions and validates cutting-edge technology. That value is real, it is enormous, and it sits entirely outside the regulated perimeter.</w:t>
      </w:r>
    </w:p>
    <w:p w14:paraId="5BE1C1C4" w14:textId="77777777" w:rsidR="001E5C3A" w:rsidRPr="001E5C3A" w:rsidRDefault="001E5C3A" w:rsidP="001E5C3A">
      <w:pPr>
        <w:rPr>
          <w:rFonts w:ascii="Times New Roman" w:hAnsi="Times New Roman" w:cs="Times New Roman"/>
        </w:rPr>
      </w:pPr>
      <w:r w:rsidRPr="001E5C3A">
        <w:rPr>
          <w:rFonts w:ascii="Times New Roman" w:hAnsi="Times New Roman" w:cs="Times New Roman"/>
        </w:rPr>
        <w:t>Formula 1 in 2026 is, financially, the most sophisticated version of itself that has ever existed. It is a sport that has learned to present the appearance of parity while preserving the substance of hierarchy — which is, perhaps, exactly what its commercial stakeholders have always required. The price of speed remains high. The question is merely who, ultimately, is paying it.</w:t>
      </w:r>
    </w:p>
    <w:p w14:paraId="2A037888" w14:textId="182F0516" w:rsidR="001E5C3A" w:rsidRDefault="001E5C3A" w:rsidP="001E5C3A">
      <w:pPr>
        <w:rPr>
          <w:rFonts w:ascii="Times New Roman" w:hAnsi="Times New Roman" w:cs="Times New Roman"/>
        </w:rPr>
      </w:pPr>
    </w:p>
    <w:tbl>
      <w:tblPr>
        <w:tblStyle w:val="TableGrid"/>
        <w:tblW w:w="9546" w:type="dxa"/>
        <w:jc w:val="center"/>
        <w:tblLook w:val="04A0" w:firstRow="1" w:lastRow="0" w:firstColumn="1" w:lastColumn="0" w:noHBand="0" w:noVBand="1"/>
      </w:tblPr>
      <w:tblGrid>
        <w:gridCol w:w="2386"/>
        <w:gridCol w:w="2386"/>
        <w:gridCol w:w="2387"/>
        <w:gridCol w:w="2387"/>
      </w:tblGrid>
      <w:tr w:rsidR="004171DA" w14:paraId="56089C71" w14:textId="77777777" w:rsidTr="00543456">
        <w:trPr>
          <w:trHeight w:val="1939"/>
          <w:jc w:val="center"/>
        </w:trPr>
        <w:tc>
          <w:tcPr>
            <w:tcW w:w="2386" w:type="dxa"/>
          </w:tcPr>
          <w:p w14:paraId="09F705CD" w14:textId="77777777" w:rsidR="004171DA" w:rsidRPr="001E5C3A" w:rsidRDefault="004171DA" w:rsidP="004171DA">
            <w:pPr>
              <w:spacing w:after="160" w:line="278" w:lineRule="auto"/>
              <w:jc w:val="center"/>
              <w:rPr>
                <w:rFonts w:ascii="Times New Roman" w:hAnsi="Times New Roman" w:cs="Times New Roman"/>
                <w:b/>
                <w:bCs/>
                <w:sz w:val="40"/>
                <w:szCs w:val="40"/>
              </w:rPr>
            </w:pPr>
            <w:r w:rsidRPr="001E5C3A">
              <w:rPr>
                <w:rFonts w:ascii="Times New Roman" w:hAnsi="Times New Roman" w:cs="Times New Roman"/>
                <w:b/>
                <w:bCs/>
                <w:sz w:val="40"/>
                <w:szCs w:val="40"/>
                <w:vertAlign w:val="superscript"/>
              </w:rPr>
              <w:lastRenderedPageBreak/>
              <w:t>$</w:t>
            </w:r>
            <w:r w:rsidRPr="001E5C3A">
              <w:rPr>
                <w:rFonts w:ascii="Times New Roman" w:hAnsi="Times New Roman" w:cs="Times New Roman"/>
                <w:b/>
                <w:bCs/>
                <w:sz w:val="40"/>
                <w:szCs w:val="40"/>
              </w:rPr>
              <w:t>1.4B</w:t>
            </w:r>
          </w:p>
          <w:p w14:paraId="6A1F1E96" w14:textId="471351F3" w:rsidR="004171DA" w:rsidRPr="004171DA" w:rsidRDefault="004171DA" w:rsidP="004171DA">
            <w:pPr>
              <w:spacing w:after="160" w:line="278" w:lineRule="auto"/>
              <w:jc w:val="center"/>
              <w:rPr>
                <w:rFonts w:ascii="Times New Roman" w:hAnsi="Times New Roman" w:cs="Times New Roman"/>
                <w:sz w:val="32"/>
                <w:szCs w:val="32"/>
              </w:rPr>
            </w:pPr>
            <w:r w:rsidRPr="001E5C3A">
              <w:rPr>
                <w:rFonts w:ascii="Times New Roman" w:hAnsi="Times New Roman" w:cs="Times New Roman"/>
                <w:sz w:val="32"/>
                <w:szCs w:val="32"/>
              </w:rPr>
              <w:t>Total prize money pool 2025</w:t>
            </w:r>
          </w:p>
        </w:tc>
        <w:tc>
          <w:tcPr>
            <w:tcW w:w="2386" w:type="dxa"/>
          </w:tcPr>
          <w:p w14:paraId="7FC726CE" w14:textId="77777777" w:rsidR="004171DA" w:rsidRPr="001E5C3A" w:rsidRDefault="004171DA" w:rsidP="004171DA">
            <w:pPr>
              <w:spacing w:after="160" w:line="278" w:lineRule="auto"/>
              <w:jc w:val="center"/>
              <w:rPr>
                <w:rFonts w:ascii="Times New Roman" w:hAnsi="Times New Roman" w:cs="Times New Roman"/>
                <w:b/>
                <w:bCs/>
                <w:sz w:val="40"/>
                <w:szCs w:val="40"/>
              </w:rPr>
            </w:pPr>
            <w:r w:rsidRPr="001E5C3A">
              <w:rPr>
                <w:rFonts w:ascii="Times New Roman" w:hAnsi="Times New Roman" w:cs="Times New Roman"/>
                <w:b/>
                <w:bCs/>
                <w:sz w:val="40"/>
                <w:szCs w:val="40"/>
                <w:vertAlign w:val="superscript"/>
              </w:rPr>
              <w:t>$</w:t>
            </w:r>
            <w:r w:rsidRPr="001E5C3A">
              <w:rPr>
                <w:rFonts w:ascii="Times New Roman" w:hAnsi="Times New Roman" w:cs="Times New Roman"/>
                <w:b/>
                <w:bCs/>
                <w:sz w:val="40"/>
                <w:szCs w:val="40"/>
              </w:rPr>
              <w:t>324M</w:t>
            </w:r>
          </w:p>
          <w:p w14:paraId="65E41F0E" w14:textId="4B3BAD85" w:rsidR="004171DA" w:rsidRPr="004171DA" w:rsidRDefault="004171DA" w:rsidP="004171DA">
            <w:pPr>
              <w:spacing w:after="160" w:line="278" w:lineRule="auto"/>
              <w:jc w:val="center"/>
              <w:rPr>
                <w:rFonts w:ascii="Times New Roman" w:hAnsi="Times New Roman" w:cs="Times New Roman"/>
                <w:sz w:val="32"/>
                <w:szCs w:val="32"/>
              </w:rPr>
            </w:pPr>
            <w:r w:rsidRPr="001E5C3A">
              <w:rPr>
                <w:rFonts w:ascii="Times New Roman" w:hAnsi="Times New Roman" w:cs="Times New Roman"/>
                <w:sz w:val="32"/>
                <w:szCs w:val="32"/>
              </w:rPr>
              <w:t>Total driver salaries 2026</w:t>
            </w:r>
          </w:p>
        </w:tc>
        <w:tc>
          <w:tcPr>
            <w:tcW w:w="2387" w:type="dxa"/>
          </w:tcPr>
          <w:p w14:paraId="215351CF" w14:textId="77777777" w:rsidR="004171DA" w:rsidRPr="001E5C3A" w:rsidRDefault="004171DA" w:rsidP="004171DA">
            <w:pPr>
              <w:spacing w:after="160" w:line="278" w:lineRule="auto"/>
              <w:jc w:val="center"/>
              <w:rPr>
                <w:rFonts w:ascii="Times New Roman" w:hAnsi="Times New Roman" w:cs="Times New Roman"/>
                <w:b/>
                <w:bCs/>
                <w:sz w:val="40"/>
                <w:szCs w:val="40"/>
              </w:rPr>
            </w:pPr>
            <w:r w:rsidRPr="001E5C3A">
              <w:rPr>
                <w:rFonts w:ascii="Times New Roman" w:hAnsi="Times New Roman" w:cs="Times New Roman"/>
                <w:b/>
                <w:bCs/>
                <w:sz w:val="40"/>
                <w:szCs w:val="40"/>
                <w:vertAlign w:val="superscript"/>
              </w:rPr>
              <w:t>$</w:t>
            </w:r>
            <w:r w:rsidRPr="001E5C3A">
              <w:rPr>
                <w:rFonts w:ascii="Times New Roman" w:hAnsi="Times New Roman" w:cs="Times New Roman"/>
                <w:b/>
                <w:bCs/>
                <w:sz w:val="40"/>
                <w:szCs w:val="40"/>
              </w:rPr>
              <w:t>720M</w:t>
            </w:r>
          </w:p>
          <w:p w14:paraId="347DEBC7" w14:textId="2D85864F" w:rsidR="004171DA" w:rsidRPr="004171DA" w:rsidRDefault="004171DA" w:rsidP="004171DA">
            <w:pPr>
              <w:spacing w:after="160" w:line="278" w:lineRule="auto"/>
              <w:jc w:val="center"/>
              <w:rPr>
                <w:rFonts w:ascii="Times New Roman" w:hAnsi="Times New Roman" w:cs="Times New Roman"/>
                <w:sz w:val="32"/>
                <w:szCs w:val="32"/>
              </w:rPr>
            </w:pPr>
            <w:r w:rsidRPr="001E5C3A">
              <w:rPr>
                <w:rFonts w:ascii="Times New Roman" w:hAnsi="Times New Roman" w:cs="Times New Roman"/>
                <w:sz w:val="32"/>
                <w:szCs w:val="32"/>
              </w:rPr>
              <w:t>Ferrari est. revenue 2026</w:t>
            </w:r>
          </w:p>
        </w:tc>
        <w:tc>
          <w:tcPr>
            <w:tcW w:w="2387" w:type="dxa"/>
          </w:tcPr>
          <w:p w14:paraId="5EE2CA66" w14:textId="77777777" w:rsidR="004171DA" w:rsidRPr="001E5C3A" w:rsidRDefault="004171DA" w:rsidP="004171DA">
            <w:pPr>
              <w:spacing w:after="160" w:line="278" w:lineRule="auto"/>
              <w:jc w:val="center"/>
              <w:rPr>
                <w:rFonts w:ascii="Times New Roman" w:hAnsi="Times New Roman" w:cs="Times New Roman"/>
                <w:b/>
                <w:bCs/>
                <w:sz w:val="40"/>
                <w:szCs w:val="40"/>
              </w:rPr>
            </w:pPr>
            <w:r w:rsidRPr="001E5C3A">
              <w:rPr>
                <w:rFonts w:ascii="Times New Roman" w:hAnsi="Times New Roman" w:cs="Times New Roman"/>
                <w:b/>
                <w:bCs/>
                <w:sz w:val="40"/>
                <w:szCs w:val="40"/>
                <w:vertAlign w:val="superscript"/>
              </w:rPr>
              <w:t>$</w:t>
            </w:r>
            <w:r w:rsidRPr="001E5C3A">
              <w:rPr>
                <w:rFonts w:ascii="Times New Roman" w:hAnsi="Times New Roman" w:cs="Times New Roman"/>
                <w:b/>
                <w:bCs/>
                <w:sz w:val="40"/>
                <w:szCs w:val="40"/>
              </w:rPr>
              <w:t>10B</w:t>
            </w:r>
          </w:p>
          <w:p w14:paraId="50A7F256" w14:textId="3D7B87BE" w:rsidR="004171DA" w:rsidRPr="004171DA" w:rsidRDefault="004171DA" w:rsidP="004171DA">
            <w:pPr>
              <w:jc w:val="center"/>
              <w:rPr>
                <w:rFonts w:ascii="Times New Roman" w:hAnsi="Times New Roman" w:cs="Times New Roman"/>
                <w:sz w:val="32"/>
                <w:szCs w:val="32"/>
              </w:rPr>
            </w:pPr>
            <w:r w:rsidRPr="001E5C3A">
              <w:rPr>
                <w:rFonts w:ascii="Times New Roman" w:hAnsi="Times New Roman" w:cs="Times New Roman"/>
                <w:sz w:val="32"/>
                <w:szCs w:val="32"/>
              </w:rPr>
              <w:t>Top team valuation</w:t>
            </w:r>
          </w:p>
        </w:tc>
      </w:tr>
    </w:tbl>
    <w:p w14:paraId="216E788E" w14:textId="089CDBBD" w:rsidR="00E66E0F" w:rsidRDefault="00B17E7C" w:rsidP="001E5C3A">
      <w:pPr>
        <w:rPr>
          <w:rFonts w:ascii="Times New Roman" w:hAnsi="Times New Roman" w:cs="Times New Roman"/>
        </w:rPr>
      </w:pPr>
      <w:sdt>
        <w:sdtPr>
          <w:rPr>
            <w:rFonts w:ascii="Times New Roman" w:hAnsi="Times New Roman" w:cs="Times New Roman"/>
          </w:rPr>
          <w:id w:val="1882515077"/>
          <w:citation/>
        </w:sdtPr>
        <w:sdtContent>
          <w:r>
            <w:rPr>
              <w:rFonts w:ascii="Times New Roman" w:hAnsi="Times New Roman" w:cs="Times New Roman"/>
            </w:rPr>
            <w:fldChar w:fldCharType="begin"/>
          </w:r>
          <w:r>
            <w:rPr>
              <w:rFonts w:ascii="Times New Roman" w:hAnsi="Times New Roman" w:cs="Times New Roman"/>
            </w:rPr>
            <w:instrText xml:space="preserve"> CITATION Ter05 \l 1033 </w:instrText>
          </w:r>
          <w:r>
            <w:rPr>
              <w:rFonts w:ascii="Times New Roman" w:hAnsi="Times New Roman" w:cs="Times New Roman"/>
            </w:rPr>
            <w:fldChar w:fldCharType="separate"/>
          </w:r>
          <w:r w:rsidRPr="00B17E7C">
            <w:rPr>
              <w:rFonts w:ascii="Times New Roman" w:hAnsi="Times New Roman" w:cs="Times New Roman"/>
              <w:noProof/>
            </w:rPr>
            <w:t>(Widdows, 205)</w:t>
          </w:r>
          <w:r>
            <w:rPr>
              <w:rFonts w:ascii="Times New Roman" w:hAnsi="Times New Roman" w:cs="Times New Roman"/>
            </w:rPr>
            <w:fldChar w:fldCharType="end"/>
          </w:r>
        </w:sdtContent>
      </w:sdt>
    </w:p>
    <w:bookmarkStart w:id="8" w:name="_Toc227598602" w:displacedByCustomXml="next"/>
    <w:sdt>
      <w:sdtPr>
        <w:id w:val="1866481480"/>
        <w:docPartObj>
          <w:docPartGallery w:val="Bibliographies"/>
          <w:docPartUnique/>
        </w:docPartObj>
      </w:sdtPr>
      <w:sdtEndPr>
        <w:rPr>
          <w:rFonts w:asciiTheme="minorHAnsi" w:eastAsiaTheme="minorHAnsi" w:hAnsiTheme="minorHAnsi" w:cstheme="minorBidi"/>
          <w:b w:val="0"/>
          <w:color w:val="auto"/>
          <w:sz w:val="24"/>
          <w:szCs w:val="24"/>
        </w:rPr>
      </w:sdtEndPr>
      <w:sdtContent>
        <w:p w14:paraId="483C930B" w14:textId="7C5A84AA" w:rsidR="00F17DC2" w:rsidRDefault="00F17DC2">
          <w:pPr>
            <w:pStyle w:val="Heading1"/>
          </w:pPr>
          <w:r>
            <w:t>Bibliography</w:t>
          </w:r>
          <w:bookmarkEnd w:id="8"/>
        </w:p>
        <w:sdt>
          <w:sdtPr>
            <w:id w:val="111145805"/>
            <w:bibliography/>
          </w:sdtPr>
          <w:sdtContent>
            <w:p w14:paraId="741600BA" w14:textId="77777777" w:rsidR="00F17DC2" w:rsidRDefault="00F17DC2" w:rsidP="00F17DC2">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Barretto, L. (2026, April 10). </w:t>
              </w:r>
              <w:r>
                <w:rPr>
                  <w:i/>
                  <w:iCs/>
                  <w:noProof/>
                </w:rPr>
                <w:t>Formula 1</w:t>
              </w:r>
              <w:r>
                <w:rPr>
                  <w:noProof/>
                </w:rPr>
                <w:t>. Retrieved from https://www.formula1.com/en/latest/article/explained-what-is-the-f1-cost-cap-and-why-has-it-gone-up.2tYtDIe5SbE5utjThctBT3</w:t>
              </w:r>
            </w:p>
            <w:p w14:paraId="0B26CD6B" w14:textId="77777777" w:rsidR="00F17DC2" w:rsidRDefault="00F17DC2" w:rsidP="00F17DC2">
              <w:pPr>
                <w:pStyle w:val="Bibliography"/>
                <w:ind w:left="720" w:hanging="720"/>
                <w:rPr>
                  <w:noProof/>
                </w:rPr>
              </w:pPr>
              <w:r>
                <w:rPr>
                  <w:noProof/>
                </w:rPr>
                <w:t xml:space="preserve">Coch, M. (2026, April 16). </w:t>
              </w:r>
              <w:r>
                <w:rPr>
                  <w:i/>
                  <w:iCs/>
                  <w:noProof/>
                </w:rPr>
                <w:t>PlanetF1</w:t>
              </w:r>
              <w:r>
                <w:rPr>
                  <w:noProof/>
                </w:rPr>
                <w:t>. Retrieved from https://www.planetf1.com/features/f1-team-valuations-2026-ferrari-mercedes-red-bull</w:t>
              </w:r>
            </w:p>
            <w:p w14:paraId="6AA3406F" w14:textId="77777777" w:rsidR="00F17DC2" w:rsidRDefault="00F17DC2" w:rsidP="00F17DC2">
              <w:pPr>
                <w:pStyle w:val="Bibliography"/>
                <w:ind w:left="720" w:hanging="720"/>
                <w:rPr>
                  <w:noProof/>
                </w:rPr>
              </w:pPr>
              <w:r>
                <w:rPr>
                  <w:noProof/>
                </w:rPr>
                <w:t xml:space="preserve">RobinB. (2025, April 29). </w:t>
              </w:r>
              <w:r>
                <w:rPr>
                  <w:i/>
                  <w:iCs/>
                  <w:noProof/>
                </w:rPr>
                <w:t>Go to the grid</w:t>
              </w:r>
              <w:r>
                <w:rPr>
                  <w:noProof/>
                </w:rPr>
                <w:t>. Retrieved from https://www.gotothegrid.com/en/blog/the-truth-behind-f1s-budget-cap</w:t>
              </w:r>
            </w:p>
            <w:p w14:paraId="13EBD5DE" w14:textId="77777777" w:rsidR="00F17DC2" w:rsidRDefault="00F17DC2" w:rsidP="00F17DC2">
              <w:pPr>
                <w:pStyle w:val="Bibliography"/>
                <w:ind w:left="720" w:hanging="720"/>
                <w:rPr>
                  <w:noProof/>
                </w:rPr>
              </w:pPr>
              <w:r>
                <w:rPr>
                  <w:noProof/>
                </w:rPr>
                <w:t xml:space="preserve">TheF1JournalByHer. (2026, March 11). </w:t>
              </w:r>
              <w:r>
                <w:rPr>
                  <w:i/>
                  <w:iCs/>
                  <w:noProof/>
                </w:rPr>
                <w:t>Medium</w:t>
              </w:r>
              <w:r>
                <w:rPr>
                  <w:noProof/>
                </w:rPr>
                <w:t>. Retrieved from https://medium.com/@steenadas/why-billionaires-keep-pouring-money-into-f1-and-how-f1-teams-actually-get-paid-5a6840520a21</w:t>
              </w:r>
            </w:p>
            <w:p w14:paraId="59785C92" w14:textId="77777777" w:rsidR="00F17DC2" w:rsidRDefault="00F17DC2" w:rsidP="00F17DC2">
              <w:pPr>
                <w:pStyle w:val="Bibliography"/>
                <w:ind w:left="720" w:hanging="720"/>
                <w:rPr>
                  <w:noProof/>
                </w:rPr>
              </w:pPr>
              <w:r>
                <w:rPr>
                  <w:noProof/>
                </w:rPr>
                <w:t xml:space="preserve">Widdows, T. (205, September 25). </w:t>
              </w:r>
              <w:r>
                <w:rPr>
                  <w:i/>
                  <w:iCs/>
                  <w:noProof/>
                </w:rPr>
                <w:t>coffeecornermotorsport.com</w:t>
              </w:r>
              <w:r>
                <w:rPr>
                  <w:noProof/>
                </w:rPr>
                <w:t>. Retrieved from https://coffeecornermotorsport.com/fia-confirms-215m-f1-cost-cap-for-2026-spending-wont-rise/</w:t>
              </w:r>
            </w:p>
            <w:p w14:paraId="56E1D886" w14:textId="283E62A1" w:rsidR="00F17DC2" w:rsidRDefault="00F17DC2" w:rsidP="00F17DC2">
              <w:r>
                <w:rPr>
                  <w:b/>
                  <w:bCs/>
                  <w:noProof/>
                </w:rPr>
                <w:fldChar w:fldCharType="end"/>
              </w:r>
            </w:p>
          </w:sdtContent>
        </w:sdt>
      </w:sdtContent>
    </w:sdt>
    <w:p w14:paraId="48568F67" w14:textId="77777777" w:rsidR="00F17DC2" w:rsidRPr="00327445" w:rsidRDefault="00F17DC2" w:rsidP="001E5C3A">
      <w:pPr>
        <w:rPr>
          <w:rFonts w:ascii="Times New Roman" w:hAnsi="Times New Roman" w:cs="Times New Roman"/>
        </w:rPr>
      </w:pPr>
    </w:p>
    <w:sectPr w:rsidR="00F17DC2" w:rsidRPr="00327445" w:rsidSect="0032744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989"/>
    <w:multiLevelType w:val="multilevel"/>
    <w:tmpl w:val="205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439D3"/>
    <w:multiLevelType w:val="multilevel"/>
    <w:tmpl w:val="1D0E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55E86"/>
    <w:multiLevelType w:val="multilevel"/>
    <w:tmpl w:val="23AC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C037F"/>
    <w:multiLevelType w:val="multilevel"/>
    <w:tmpl w:val="A8C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A7E65"/>
    <w:multiLevelType w:val="multilevel"/>
    <w:tmpl w:val="96C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E57D5"/>
    <w:multiLevelType w:val="multilevel"/>
    <w:tmpl w:val="BD7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35D4A"/>
    <w:multiLevelType w:val="multilevel"/>
    <w:tmpl w:val="4F8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E7A8D"/>
    <w:multiLevelType w:val="multilevel"/>
    <w:tmpl w:val="8E5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F0A81"/>
    <w:multiLevelType w:val="multilevel"/>
    <w:tmpl w:val="5E1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C2263"/>
    <w:multiLevelType w:val="multilevel"/>
    <w:tmpl w:val="C43E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560B5"/>
    <w:multiLevelType w:val="multilevel"/>
    <w:tmpl w:val="94C2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251137"/>
    <w:multiLevelType w:val="multilevel"/>
    <w:tmpl w:val="5182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C00823"/>
    <w:multiLevelType w:val="multilevel"/>
    <w:tmpl w:val="A3161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6F1ED3"/>
    <w:multiLevelType w:val="multilevel"/>
    <w:tmpl w:val="6CF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477510">
    <w:abstractNumId w:val="8"/>
  </w:num>
  <w:num w:numId="2" w16cid:durableId="329329080">
    <w:abstractNumId w:val="2"/>
  </w:num>
  <w:num w:numId="3" w16cid:durableId="685711445">
    <w:abstractNumId w:val="7"/>
  </w:num>
  <w:num w:numId="4" w16cid:durableId="449668352">
    <w:abstractNumId w:val="12"/>
  </w:num>
  <w:num w:numId="5" w16cid:durableId="370305462">
    <w:abstractNumId w:val="5"/>
  </w:num>
  <w:num w:numId="6" w16cid:durableId="1008604354">
    <w:abstractNumId w:val="9"/>
  </w:num>
  <w:num w:numId="7" w16cid:durableId="1277760180">
    <w:abstractNumId w:val="13"/>
  </w:num>
  <w:num w:numId="8" w16cid:durableId="932280848">
    <w:abstractNumId w:val="6"/>
  </w:num>
  <w:num w:numId="9" w16cid:durableId="323630410">
    <w:abstractNumId w:val="11"/>
  </w:num>
  <w:num w:numId="10" w16cid:durableId="1849176037">
    <w:abstractNumId w:val="1"/>
  </w:num>
  <w:num w:numId="11" w16cid:durableId="2034065118">
    <w:abstractNumId w:val="3"/>
  </w:num>
  <w:num w:numId="12" w16cid:durableId="1160776654">
    <w:abstractNumId w:val="4"/>
  </w:num>
  <w:num w:numId="13" w16cid:durableId="1164080444">
    <w:abstractNumId w:val="0"/>
  </w:num>
  <w:num w:numId="14" w16cid:durableId="1717389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E24"/>
    <w:rsid w:val="000C6578"/>
    <w:rsid w:val="00110D39"/>
    <w:rsid w:val="001E1E3A"/>
    <w:rsid w:val="001E5C3A"/>
    <w:rsid w:val="00327445"/>
    <w:rsid w:val="004171DA"/>
    <w:rsid w:val="004D0E24"/>
    <w:rsid w:val="00732FD7"/>
    <w:rsid w:val="007338C0"/>
    <w:rsid w:val="00854A9D"/>
    <w:rsid w:val="00A67D0D"/>
    <w:rsid w:val="00B17E7C"/>
    <w:rsid w:val="00B53529"/>
    <w:rsid w:val="00C94CCB"/>
    <w:rsid w:val="00E66E0F"/>
    <w:rsid w:val="00F17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1AF3"/>
  <w15:chartTrackingRefBased/>
  <w15:docId w15:val="{46313342-6C06-4040-A170-BD0F4FF11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DA"/>
  </w:style>
  <w:style w:type="paragraph" w:styleId="Heading1">
    <w:name w:val="heading 1"/>
    <w:basedOn w:val="Normal"/>
    <w:next w:val="Normal"/>
    <w:link w:val="Heading1Char"/>
    <w:uiPriority w:val="9"/>
    <w:qFormat/>
    <w:rsid w:val="00327445"/>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338C0"/>
    <w:pPr>
      <w:keepNext/>
      <w:keepLines/>
      <w:spacing w:before="160" w:after="80"/>
      <w:outlineLvl w:val="1"/>
    </w:pPr>
    <w:rPr>
      <w:rFonts w:asciiTheme="majorHAnsi" w:eastAsiaTheme="majorEastAsia" w:hAnsiTheme="majorHAnsi" w:cstheme="majorBidi"/>
      <w:i/>
      <w:color w:val="000000" w:themeColor="text1"/>
      <w:sz w:val="22"/>
      <w:szCs w:val="32"/>
    </w:rPr>
  </w:style>
  <w:style w:type="paragraph" w:styleId="Heading3">
    <w:name w:val="heading 3"/>
    <w:basedOn w:val="Normal"/>
    <w:next w:val="Normal"/>
    <w:link w:val="Heading3Char"/>
    <w:uiPriority w:val="9"/>
    <w:semiHidden/>
    <w:unhideWhenUsed/>
    <w:qFormat/>
    <w:rsid w:val="004D0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45"/>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338C0"/>
    <w:rPr>
      <w:rFonts w:asciiTheme="majorHAnsi" w:eastAsiaTheme="majorEastAsia" w:hAnsiTheme="majorHAnsi" w:cstheme="majorBidi"/>
      <w:i/>
      <w:color w:val="000000" w:themeColor="text1"/>
      <w:sz w:val="22"/>
      <w:szCs w:val="32"/>
    </w:rPr>
  </w:style>
  <w:style w:type="character" w:customStyle="1" w:styleId="Heading3Char">
    <w:name w:val="Heading 3 Char"/>
    <w:basedOn w:val="DefaultParagraphFont"/>
    <w:link w:val="Heading3"/>
    <w:uiPriority w:val="9"/>
    <w:semiHidden/>
    <w:rsid w:val="004D0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E24"/>
    <w:rPr>
      <w:rFonts w:eastAsiaTheme="majorEastAsia" w:cstheme="majorBidi"/>
      <w:color w:val="272727" w:themeColor="text1" w:themeTint="D8"/>
    </w:rPr>
  </w:style>
  <w:style w:type="paragraph" w:styleId="Title">
    <w:name w:val="Title"/>
    <w:basedOn w:val="Normal"/>
    <w:next w:val="Normal"/>
    <w:link w:val="TitleChar"/>
    <w:uiPriority w:val="10"/>
    <w:qFormat/>
    <w:rsid w:val="004D0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E24"/>
    <w:pPr>
      <w:spacing w:before="160"/>
      <w:jc w:val="center"/>
    </w:pPr>
    <w:rPr>
      <w:i/>
      <w:iCs/>
      <w:color w:val="404040" w:themeColor="text1" w:themeTint="BF"/>
    </w:rPr>
  </w:style>
  <w:style w:type="character" w:customStyle="1" w:styleId="QuoteChar">
    <w:name w:val="Quote Char"/>
    <w:basedOn w:val="DefaultParagraphFont"/>
    <w:link w:val="Quote"/>
    <w:uiPriority w:val="29"/>
    <w:rsid w:val="004D0E24"/>
    <w:rPr>
      <w:i/>
      <w:iCs/>
      <w:color w:val="404040" w:themeColor="text1" w:themeTint="BF"/>
    </w:rPr>
  </w:style>
  <w:style w:type="paragraph" w:styleId="ListParagraph">
    <w:name w:val="List Paragraph"/>
    <w:basedOn w:val="Normal"/>
    <w:uiPriority w:val="34"/>
    <w:qFormat/>
    <w:rsid w:val="004D0E24"/>
    <w:pPr>
      <w:ind w:left="720"/>
      <w:contextualSpacing/>
    </w:pPr>
  </w:style>
  <w:style w:type="character" w:styleId="IntenseEmphasis">
    <w:name w:val="Intense Emphasis"/>
    <w:basedOn w:val="DefaultParagraphFont"/>
    <w:uiPriority w:val="21"/>
    <w:qFormat/>
    <w:rsid w:val="004D0E24"/>
    <w:rPr>
      <w:i/>
      <w:iCs/>
      <w:color w:val="0F4761" w:themeColor="accent1" w:themeShade="BF"/>
    </w:rPr>
  </w:style>
  <w:style w:type="paragraph" w:styleId="IntenseQuote">
    <w:name w:val="Intense Quote"/>
    <w:basedOn w:val="Normal"/>
    <w:next w:val="Normal"/>
    <w:link w:val="IntenseQuoteChar"/>
    <w:uiPriority w:val="30"/>
    <w:qFormat/>
    <w:rsid w:val="004D0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E24"/>
    <w:rPr>
      <w:i/>
      <w:iCs/>
      <w:color w:val="0F4761" w:themeColor="accent1" w:themeShade="BF"/>
    </w:rPr>
  </w:style>
  <w:style w:type="character" w:styleId="IntenseReference">
    <w:name w:val="Intense Reference"/>
    <w:basedOn w:val="DefaultParagraphFont"/>
    <w:uiPriority w:val="32"/>
    <w:qFormat/>
    <w:rsid w:val="004D0E24"/>
    <w:rPr>
      <w:b/>
      <w:bCs/>
      <w:smallCaps/>
      <w:color w:val="0F4761" w:themeColor="accent1" w:themeShade="BF"/>
      <w:spacing w:val="5"/>
    </w:rPr>
  </w:style>
  <w:style w:type="paragraph" w:styleId="NoSpacing">
    <w:name w:val="No Spacing"/>
    <w:link w:val="NoSpacingChar"/>
    <w:uiPriority w:val="1"/>
    <w:qFormat/>
    <w:rsid w:val="0032744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7445"/>
    <w:rPr>
      <w:rFonts w:eastAsiaTheme="minorEastAsia"/>
      <w:kern w:val="0"/>
      <w:sz w:val="22"/>
      <w:szCs w:val="22"/>
      <w14:ligatures w14:val="none"/>
    </w:rPr>
  </w:style>
  <w:style w:type="paragraph" w:styleId="TOCHeading">
    <w:name w:val="TOC Heading"/>
    <w:basedOn w:val="Heading1"/>
    <w:next w:val="Normal"/>
    <w:uiPriority w:val="39"/>
    <w:unhideWhenUsed/>
    <w:qFormat/>
    <w:rsid w:val="0032744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27445"/>
    <w:pPr>
      <w:spacing w:after="100"/>
    </w:pPr>
  </w:style>
  <w:style w:type="character" w:styleId="Hyperlink">
    <w:name w:val="Hyperlink"/>
    <w:basedOn w:val="DefaultParagraphFont"/>
    <w:uiPriority w:val="99"/>
    <w:unhideWhenUsed/>
    <w:rsid w:val="00327445"/>
    <w:rPr>
      <w:color w:val="467886" w:themeColor="hyperlink"/>
      <w:u w:val="single"/>
    </w:rPr>
  </w:style>
  <w:style w:type="table" w:styleId="TableGrid">
    <w:name w:val="Table Grid"/>
    <w:basedOn w:val="TableNormal"/>
    <w:uiPriority w:val="39"/>
    <w:rsid w:val="00B53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171DA"/>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7338C0"/>
    <w:pPr>
      <w:spacing w:after="100"/>
      <w:ind w:left="240"/>
    </w:pPr>
  </w:style>
  <w:style w:type="character" w:styleId="UnresolvedMention">
    <w:name w:val="Unresolved Mention"/>
    <w:basedOn w:val="DefaultParagraphFont"/>
    <w:uiPriority w:val="99"/>
    <w:semiHidden/>
    <w:unhideWhenUsed/>
    <w:rsid w:val="00110D39"/>
    <w:rPr>
      <w:color w:val="605E5C"/>
      <w:shd w:val="clear" w:color="auto" w:fill="E1DFDD"/>
    </w:rPr>
  </w:style>
  <w:style w:type="character" w:styleId="SubtleReference">
    <w:name w:val="Subtle Reference"/>
    <w:basedOn w:val="DefaultParagraphFont"/>
    <w:uiPriority w:val="31"/>
    <w:qFormat/>
    <w:rsid w:val="000C6578"/>
    <w:rPr>
      <w:smallCaps/>
      <w:color w:val="5A5A5A" w:themeColor="text1" w:themeTint="A5"/>
    </w:rPr>
  </w:style>
  <w:style w:type="paragraph" w:styleId="Bibliography">
    <w:name w:val="Bibliography"/>
    <w:basedOn w:val="Normal"/>
    <w:next w:val="Normal"/>
    <w:uiPriority w:val="37"/>
    <w:unhideWhenUsed/>
    <w:rsid w:val="00F17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47396">
      <w:bodyDiv w:val="1"/>
      <w:marLeft w:val="0"/>
      <w:marRight w:val="0"/>
      <w:marTop w:val="0"/>
      <w:marBottom w:val="0"/>
      <w:divBdr>
        <w:top w:val="none" w:sz="0" w:space="0" w:color="auto"/>
        <w:left w:val="none" w:sz="0" w:space="0" w:color="auto"/>
        <w:bottom w:val="none" w:sz="0" w:space="0" w:color="auto"/>
        <w:right w:val="none" w:sz="0" w:space="0" w:color="auto"/>
      </w:divBdr>
    </w:div>
    <w:div w:id="301664369">
      <w:bodyDiv w:val="1"/>
      <w:marLeft w:val="0"/>
      <w:marRight w:val="0"/>
      <w:marTop w:val="0"/>
      <w:marBottom w:val="0"/>
      <w:divBdr>
        <w:top w:val="none" w:sz="0" w:space="0" w:color="auto"/>
        <w:left w:val="none" w:sz="0" w:space="0" w:color="auto"/>
        <w:bottom w:val="none" w:sz="0" w:space="0" w:color="auto"/>
        <w:right w:val="none" w:sz="0" w:space="0" w:color="auto"/>
      </w:divBdr>
    </w:div>
    <w:div w:id="500779089">
      <w:bodyDiv w:val="1"/>
      <w:marLeft w:val="0"/>
      <w:marRight w:val="0"/>
      <w:marTop w:val="0"/>
      <w:marBottom w:val="0"/>
      <w:divBdr>
        <w:top w:val="none" w:sz="0" w:space="0" w:color="auto"/>
        <w:left w:val="none" w:sz="0" w:space="0" w:color="auto"/>
        <w:bottom w:val="none" w:sz="0" w:space="0" w:color="auto"/>
        <w:right w:val="none" w:sz="0" w:space="0" w:color="auto"/>
      </w:divBdr>
    </w:div>
    <w:div w:id="631714433">
      <w:bodyDiv w:val="1"/>
      <w:marLeft w:val="0"/>
      <w:marRight w:val="0"/>
      <w:marTop w:val="0"/>
      <w:marBottom w:val="0"/>
      <w:divBdr>
        <w:top w:val="none" w:sz="0" w:space="0" w:color="auto"/>
        <w:left w:val="none" w:sz="0" w:space="0" w:color="auto"/>
        <w:bottom w:val="none" w:sz="0" w:space="0" w:color="auto"/>
        <w:right w:val="none" w:sz="0" w:space="0" w:color="auto"/>
      </w:divBdr>
    </w:div>
    <w:div w:id="945772244">
      <w:bodyDiv w:val="1"/>
      <w:marLeft w:val="0"/>
      <w:marRight w:val="0"/>
      <w:marTop w:val="0"/>
      <w:marBottom w:val="0"/>
      <w:divBdr>
        <w:top w:val="none" w:sz="0" w:space="0" w:color="auto"/>
        <w:left w:val="none" w:sz="0" w:space="0" w:color="auto"/>
        <w:bottom w:val="none" w:sz="0" w:space="0" w:color="auto"/>
        <w:right w:val="none" w:sz="0" w:space="0" w:color="auto"/>
      </w:divBdr>
    </w:div>
    <w:div w:id="118679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2.wdp"/><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numbering" Target="numbering.xml"/><Relationship Id="rId11" Type="http://schemas.microsoft.com/office/2007/relationships/hdphoto" Target="media/hdphoto1.wdp"/><Relationship Id="rId5" Type="http://schemas.openxmlformats.org/officeDocument/2006/relationships/customXml" Target="../customXml/item5.xml"/><Relationship Id="rId15" Type="http://schemas.openxmlformats.org/officeDocument/2006/relationships/chart" Target="charts/chart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0" i="0" u="none" strike="noStrike" cap="all" baseline="0">
                <a:effectLst/>
              </a:rPr>
              <a:t>Estimated Revenue Breakdown by Team Tier — 2026 Season</a:t>
            </a:r>
            <a:endParaRPr lang="en-US" sz="1100"/>
          </a:p>
        </c:rich>
      </c:tx>
      <c:layout>
        <c:manualLayout>
          <c:xMode val="edge"/>
          <c:yMode val="edge"/>
          <c:x val="0.12375"/>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Prize Money</c:v>
                </c:pt>
              </c:strCache>
            </c:strRef>
          </c:tx>
          <c:spPr>
            <a:solidFill>
              <a:schemeClr val="tx1"/>
            </a:solidFill>
            <a:ln>
              <a:noFill/>
            </a:ln>
            <a:effectLst/>
          </c:spPr>
          <c:invertIfNegative val="0"/>
          <c:cat>
            <c:strRef>
              <c:f>Sheet1!$A$2:$A$5</c:f>
              <c:strCache>
                <c:ptCount val="4"/>
                <c:pt idx="0">
                  <c:v>William / Haas / Sauber</c:v>
                </c:pt>
                <c:pt idx="1">
                  <c:v>Ferrari / Mercedes</c:v>
                </c:pt>
                <c:pt idx="2">
                  <c:v>Red Bull / Mclaren</c:v>
                </c:pt>
                <c:pt idx="3">
                  <c:v>Aston Martin / Alpine</c:v>
                </c:pt>
              </c:strCache>
            </c:strRef>
          </c:cat>
          <c:val>
            <c:numRef>
              <c:f>Sheet1!$B$2:$B$5</c:f>
              <c:numCache>
                <c:formatCode>General</c:formatCode>
                <c:ptCount val="4"/>
                <c:pt idx="0">
                  <c:v>75</c:v>
                </c:pt>
                <c:pt idx="1">
                  <c:v>277</c:v>
                </c:pt>
                <c:pt idx="2">
                  <c:v>160</c:v>
                </c:pt>
                <c:pt idx="3">
                  <c:v>110</c:v>
                </c:pt>
              </c:numCache>
            </c:numRef>
          </c:val>
          <c:extLst>
            <c:ext xmlns:c16="http://schemas.microsoft.com/office/drawing/2014/chart" uri="{C3380CC4-5D6E-409C-BE32-E72D297353CC}">
              <c16:uniqueId val="{00000000-E299-4B93-87B5-CD7391F92C8D}"/>
            </c:ext>
          </c:extLst>
        </c:ser>
        <c:ser>
          <c:idx val="1"/>
          <c:order val="1"/>
          <c:tx>
            <c:strRef>
              <c:f>Sheet1!$C$1</c:f>
              <c:strCache>
                <c:ptCount val="1"/>
                <c:pt idx="0">
                  <c:v>Sponsorship</c:v>
                </c:pt>
              </c:strCache>
            </c:strRef>
          </c:tx>
          <c:spPr>
            <a:solidFill>
              <a:srgbClr val="C9A84C"/>
            </a:solidFill>
            <a:ln>
              <a:noFill/>
            </a:ln>
            <a:effectLst/>
          </c:spPr>
          <c:invertIfNegative val="0"/>
          <c:cat>
            <c:strRef>
              <c:f>Sheet1!$A$2:$A$5</c:f>
              <c:strCache>
                <c:ptCount val="4"/>
                <c:pt idx="0">
                  <c:v>William / Haas / Sauber</c:v>
                </c:pt>
                <c:pt idx="1">
                  <c:v>Ferrari / Mercedes</c:v>
                </c:pt>
                <c:pt idx="2">
                  <c:v>Red Bull / Mclaren</c:v>
                </c:pt>
                <c:pt idx="3">
                  <c:v>Aston Martin / Alpine</c:v>
                </c:pt>
              </c:strCache>
            </c:strRef>
          </c:cat>
          <c:val>
            <c:numRef>
              <c:f>Sheet1!$C$2:$C$5</c:f>
              <c:numCache>
                <c:formatCode>General</c:formatCode>
                <c:ptCount val="4"/>
                <c:pt idx="0">
                  <c:v>55</c:v>
                </c:pt>
                <c:pt idx="1">
                  <c:v>300</c:v>
                </c:pt>
                <c:pt idx="2">
                  <c:v>200</c:v>
                </c:pt>
                <c:pt idx="3">
                  <c:v>120</c:v>
                </c:pt>
              </c:numCache>
            </c:numRef>
          </c:val>
          <c:extLst>
            <c:ext xmlns:c16="http://schemas.microsoft.com/office/drawing/2014/chart" uri="{C3380CC4-5D6E-409C-BE32-E72D297353CC}">
              <c16:uniqueId val="{00000001-E299-4B93-87B5-CD7391F92C8D}"/>
            </c:ext>
          </c:extLst>
        </c:ser>
        <c:ser>
          <c:idx val="2"/>
          <c:order val="2"/>
          <c:tx>
            <c:strRef>
              <c:f>Sheet1!$D$1</c:f>
              <c:strCache>
                <c:ptCount val="1"/>
                <c:pt idx="0">
                  <c:v>Manufacturer / Parent Backing</c:v>
                </c:pt>
              </c:strCache>
            </c:strRef>
          </c:tx>
          <c:spPr>
            <a:solidFill>
              <a:srgbClr val="D4C5A9"/>
            </a:solidFill>
            <a:ln>
              <a:noFill/>
            </a:ln>
            <a:effectLst/>
          </c:spPr>
          <c:invertIfNegative val="0"/>
          <c:cat>
            <c:strRef>
              <c:f>Sheet1!$A$2:$A$5</c:f>
              <c:strCache>
                <c:ptCount val="4"/>
                <c:pt idx="0">
                  <c:v>William / Haas / Sauber</c:v>
                </c:pt>
                <c:pt idx="1">
                  <c:v>Ferrari / Mercedes</c:v>
                </c:pt>
                <c:pt idx="2">
                  <c:v>Red Bull / Mclaren</c:v>
                </c:pt>
                <c:pt idx="3">
                  <c:v>Aston Martin / Alpine</c:v>
                </c:pt>
              </c:strCache>
            </c:strRef>
          </c:cat>
          <c:val>
            <c:numRef>
              <c:f>Sheet1!$D$2:$D$5</c:f>
              <c:numCache>
                <c:formatCode>General</c:formatCode>
                <c:ptCount val="4"/>
                <c:pt idx="0">
                  <c:v>20</c:v>
                </c:pt>
                <c:pt idx="1">
                  <c:v>150</c:v>
                </c:pt>
                <c:pt idx="2">
                  <c:v>80</c:v>
                </c:pt>
                <c:pt idx="3">
                  <c:v>60</c:v>
                </c:pt>
              </c:numCache>
            </c:numRef>
          </c:val>
          <c:extLst>
            <c:ext xmlns:c16="http://schemas.microsoft.com/office/drawing/2014/chart" uri="{C3380CC4-5D6E-409C-BE32-E72D297353CC}">
              <c16:uniqueId val="{00000002-E299-4B93-87B5-CD7391F92C8D}"/>
            </c:ext>
          </c:extLst>
        </c:ser>
        <c:dLbls>
          <c:showLegendKey val="0"/>
          <c:showVal val="0"/>
          <c:showCatName val="0"/>
          <c:showSerName val="0"/>
          <c:showPercent val="0"/>
          <c:showBubbleSize val="0"/>
        </c:dLbls>
        <c:gapWidth val="150"/>
        <c:overlap val="100"/>
        <c:axId val="1504486367"/>
        <c:axId val="1504486847"/>
      </c:barChart>
      <c:catAx>
        <c:axId val="15044863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486847"/>
        <c:crosses val="autoZero"/>
        <c:auto val="1"/>
        <c:lblAlgn val="ctr"/>
        <c:lblOffset val="100"/>
        <c:noMultiLvlLbl val="0"/>
      </c:catAx>
      <c:valAx>
        <c:axId val="150448684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4863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Expenses</a:t>
            </a:r>
            <a:r>
              <a:rPr lang="en-US" baseline="0"/>
              <a:t> F1 team - 2026 season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Series 1</c:v>
                </c:pt>
              </c:strCache>
            </c:strRef>
          </c:tx>
          <c:spPr>
            <a:solidFill>
              <a:schemeClr val="tx1"/>
            </a:solidFill>
            <a:ln>
              <a:noFill/>
            </a:ln>
            <a:effectLst/>
          </c:spPr>
          <c:invertIfNegative val="0"/>
          <c:cat>
            <c:strRef>
              <c:f>Sheet1!$A$2:$A$5</c:f>
              <c:strCache>
                <c:ptCount val="4"/>
                <c:pt idx="0">
                  <c:v>Aston Martin / Alpine</c:v>
                </c:pt>
                <c:pt idx="1">
                  <c:v>Red bull / Mclaren</c:v>
                </c:pt>
                <c:pt idx="2">
                  <c:v>Ferrari / Mercedes</c:v>
                </c:pt>
                <c:pt idx="3">
                  <c:v>William / Haas / Sauber</c:v>
                </c:pt>
              </c:strCache>
            </c:strRef>
          </c:cat>
          <c:val>
            <c:numRef>
              <c:f>Sheet1!$B$2:$B$5</c:f>
              <c:numCache>
                <c:formatCode>General</c:formatCode>
                <c:ptCount val="4"/>
                <c:pt idx="0">
                  <c:v>230</c:v>
                </c:pt>
                <c:pt idx="1">
                  <c:v>400</c:v>
                </c:pt>
                <c:pt idx="2">
                  <c:v>372</c:v>
                </c:pt>
                <c:pt idx="3">
                  <c:v>70</c:v>
                </c:pt>
              </c:numCache>
            </c:numRef>
          </c:val>
          <c:extLst>
            <c:ext xmlns:c16="http://schemas.microsoft.com/office/drawing/2014/chart" uri="{C3380CC4-5D6E-409C-BE32-E72D297353CC}">
              <c16:uniqueId val="{00000000-0C45-4D26-83CA-EEF3C5A57BB2}"/>
            </c:ext>
          </c:extLst>
        </c:ser>
        <c:ser>
          <c:idx val="1"/>
          <c:order val="1"/>
          <c:tx>
            <c:strRef>
              <c:f>Sheet1!$C$1</c:f>
              <c:strCache>
                <c:ptCount val="1"/>
                <c:pt idx="0">
                  <c:v>Series 2</c:v>
                </c:pt>
              </c:strCache>
            </c:strRef>
          </c:tx>
          <c:spPr>
            <a:solidFill>
              <a:srgbClr val="C9A84C"/>
            </a:solidFill>
            <a:ln>
              <a:noFill/>
            </a:ln>
            <a:effectLst/>
          </c:spPr>
          <c:invertIfNegative val="0"/>
          <c:cat>
            <c:strRef>
              <c:f>Sheet1!$A$2:$A$5</c:f>
              <c:strCache>
                <c:ptCount val="4"/>
                <c:pt idx="0">
                  <c:v>Aston Martin / Alpine</c:v>
                </c:pt>
                <c:pt idx="1">
                  <c:v>Red bull / Mclaren</c:v>
                </c:pt>
                <c:pt idx="2">
                  <c:v>Ferrari / Mercedes</c:v>
                </c:pt>
                <c:pt idx="3">
                  <c:v>William / Haas / Sauber</c:v>
                </c:pt>
              </c:strCache>
            </c:strRef>
          </c:cat>
          <c:val>
            <c:numRef>
              <c:f>Sheet1!$C$2:$C$5</c:f>
              <c:numCache>
                <c:formatCode>General</c:formatCode>
                <c:ptCount val="4"/>
                <c:pt idx="0">
                  <c:v>360</c:v>
                </c:pt>
                <c:pt idx="1">
                  <c:v>270</c:v>
                </c:pt>
                <c:pt idx="2">
                  <c:v>180</c:v>
                </c:pt>
                <c:pt idx="3">
                  <c:v>90</c:v>
                </c:pt>
              </c:numCache>
            </c:numRef>
          </c:val>
          <c:extLst>
            <c:ext xmlns:c16="http://schemas.microsoft.com/office/drawing/2014/chart" uri="{C3380CC4-5D6E-409C-BE32-E72D297353CC}">
              <c16:uniqueId val="{00000001-0C45-4D26-83CA-EEF3C5A57BB2}"/>
            </c:ext>
          </c:extLst>
        </c:ser>
        <c:ser>
          <c:idx val="2"/>
          <c:order val="2"/>
          <c:tx>
            <c:strRef>
              <c:f>Sheet1!$D$1</c:f>
              <c:strCache>
                <c:ptCount val="1"/>
                <c:pt idx="0">
                  <c:v>Series 3</c:v>
                </c:pt>
              </c:strCache>
            </c:strRef>
          </c:tx>
          <c:spPr>
            <a:solidFill>
              <a:srgbClr val="D4C5A9"/>
            </a:solidFill>
            <a:ln>
              <a:noFill/>
            </a:ln>
            <a:effectLst/>
          </c:spPr>
          <c:invertIfNegative val="0"/>
          <c:cat>
            <c:strRef>
              <c:f>Sheet1!$A$2:$A$5</c:f>
              <c:strCache>
                <c:ptCount val="4"/>
                <c:pt idx="0">
                  <c:v>Aston Martin / Alpine</c:v>
                </c:pt>
                <c:pt idx="1">
                  <c:v>Red bull / Mclaren</c:v>
                </c:pt>
                <c:pt idx="2">
                  <c:v>Ferrari / Mercedes</c:v>
                </c:pt>
                <c:pt idx="3">
                  <c:v>William / Haas / Sauber</c:v>
                </c:pt>
              </c:strCache>
            </c:strRef>
          </c:cat>
          <c:val>
            <c:numRef>
              <c:f>Sheet1!$D$2:$D$5</c:f>
              <c:numCache>
                <c:formatCode>General</c:formatCode>
                <c:ptCount val="4"/>
                <c:pt idx="3">
                  <c:v>135</c:v>
                </c:pt>
              </c:numCache>
            </c:numRef>
          </c:val>
          <c:extLst>
            <c:ext xmlns:c16="http://schemas.microsoft.com/office/drawing/2014/chart" uri="{C3380CC4-5D6E-409C-BE32-E72D297353CC}">
              <c16:uniqueId val="{00000002-0C45-4D26-83CA-EEF3C5A57BB2}"/>
            </c:ext>
          </c:extLst>
        </c:ser>
        <c:dLbls>
          <c:showLegendKey val="0"/>
          <c:showVal val="0"/>
          <c:showCatName val="0"/>
          <c:showSerName val="0"/>
          <c:showPercent val="0"/>
          <c:showBubbleSize val="0"/>
        </c:dLbls>
        <c:gapWidth val="150"/>
        <c:overlap val="100"/>
        <c:axId val="1481590847"/>
        <c:axId val="1481591327"/>
      </c:barChart>
      <c:catAx>
        <c:axId val="148159084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1591327"/>
        <c:crosses val="autoZero"/>
        <c:auto val="1"/>
        <c:lblAlgn val="ctr"/>
        <c:lblOffset val="100"/>
        <c:noMultiLvlLbl val="0"/>
      </c:catAx>
      <c:valAx>
        <c:axId val="148159132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15908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E370EDDDD74723B7F225EB4D6C6559"/>
        <w:category>
          <w:name w:val="General"/>
          <w:gallery w:val="placeholder"/>
        </w:category>
        <w:types>
          <w:type w:val="bbPlcHdr"/>
        </w:types>
        <w:behaviors>
          <w:behavior w:val="content"/>
        </w:behaviors>
        <w:guid w:val="{D15538C7-0AC4-435A-ACE8-E20E50ADA2C0}"/>
      </w:docPartPr>
      <w:docPartBody>
        <w:p w:rsidR="00000000" w:rsidRDefault="0019474F" w:rsidP="0019474F">
          <w:pPr>
            <w:pStyle w:val="DCE370EDDDD74723B7F225EB4D6C6559"/>
          </w:pPr>
          <w:r>
            <w:rPr>
              <w:rFonts w:asciiTheme="majorHAnsi" w:eastAsiaTheme="majorEastAsia" w:hAnsiTheme="majorHAnsi" w:cstheme="majorBidi"/>
              <w:caps/>
              <w:color w:val="156082" w:themeColor="accent1"/>
              <w:sz w:val="80"/>
              <w:szCs w:val="80"/>
            </w:rPr>
            <w:t>[Document title]</w:t>
          </w:r>
        </w:p>
      </w:docPartBody>
    </w:docPart>
    <w:docPart>
      <w:docPartPr>
        <w:name w:val="FF034868614D48328E437FC1FB7E7168"/>
        <w:category>
          <w:name w:val="General"/>
          <w:gallery w:val="placeholder"/>
        </w:category>
        <w:types>
          <w:type w:val="bbPlcHdr"/>
        </w:types>
        <w:behaviors>
          <w:behavior w:val="content"/>
        </w:behaviors>
        <w:guid w:val="{C12E2E7C-EA2C-4D85-B154-CCF7E710C6BD}"/>
      </w:docPartPr>
      <w:docPartBody>
        <w:p w:rsidR="00000000" w:rsidRDefault="0019474F" w:rsidP="0019474F">
          <w:pPr>
            <w:pStyle w:val="FF034868614D48328E437FC1FB7E716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4F"/>
    <w:rsid w:val="0019039C"/>
    <w:rsid w:val="0019474F"/>
    <w:rsid w:val="00A6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E370EDDDD74723B7F225EB4D6C6559">
    <w:name w:val="DCE370EDDDD74723B7F225EB4D6C6559"/>
    <w:rsid w:val="0019474F"/>
  </w:style>
  <w:style w:type="paragraph" w:customStyle="1" w:styleId="FF034868614D48328E437FC1FB7E7168">
    <w:name w:val="FF034868614D48328E437FC1FB7E7168"/>
    <w:rsid w:val="00194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Juan Diego Zuluaga</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51B04C131E4740BF0DE13347E75EE5" ma:contentTypeVersion="5" ma:contentTypeDescription="Crée un document." ma:contentTypeScope="" ma:versionID="d99bb11027d6180beabab9b8197729e8">
  <xsd:schema xmlns:xsd="http://www.w3.org/2001/XMLSchema" xmlns:xs="http://www.w3.org/2001/XMLSchema" xmlns:p="http://schemas.microsoft.com/office/2006/metadata/properties" xmlns:ns3="de48fb6c-7dbd-49e1-9db2-f80c2766006c" targetNamespace="http://schemas.microsoft.com/office/2006/metadata/properties" ma:root="true" ma:fieldsID="461145cfe5a7792d18b19a0129693cba" ns3:_="">
    <xsd:import namespace="de48fb6c-7dbd-49e1-9db2-f80c276600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48fb6c-7dbd-49e1-9db2-f80c276600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e48fb6c-7dbd-49e1-9db2-f80c2766006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Ter05</b:Tag>
    <b:SourceType>InternetSite</b:SourceType>
    <b:Guid>{F149F89A-9DA8-41C6-A7F4-C884E9D810E8}</b:Guid>
    <b:Title>coffeecornermotorsport.com</b:Title>
    <b:Year>205</b:Year>
    <b:Author>
      <b:Author>
        <b:NameList>
          <b:Person>
            <b:Last>Widdows</b:Last>
            <b:First>Terry</b:First>
          </b:Person>
        </b:NameList>
      </b:Author>
    </b:Author>
    <b:Month>September</b:Month>
    <b:Day>25</b:Day>
    <b:URL>https://coffeecornermotorsport.com/fia-confirms-215m-f1-cost-cap-for-2026-spending-wont-rise/</b:URL>
    <b:RefOrder>1</b:RefOrder>
  </b:Source>
  <b:Source>
    <b:Tag>Law26</b:Tag>
    <b:SourceType>InternetSite</b:SourceType>
    <b:Guid>{B2814F25-EB70-48FA-80E1-19EA17F900E9}</b:Guid>
    <b:Author>
      <b:Author>
        <b:NameList>
          <b:Person>
            <b:Last>Barretto</b:Last>
            <b:First>Lawrence</b:First>
          </b:Person>
        </b:NameList>
      </b:Author>
    </b:Author>
    <b:Title>Formula 1</b:Title>
    <b:Year>2026</b:Year>
    <b:Month>April</b:Month>
    <b:Day>10</b:Day>
    <b:URL>https://www.formula1.com/en/latest/article/explained-what-is-the-f1-cost-cap-and-why-has-it-gone-up.2tYtDIe5SbE5utjThctBT3</b:URL>
    <b:RefOrder>3</b:RefOrder>
  </b:Source>
  <b:Source>
    <b:Tag>Rob25</b:Tag>
    <b:SourceType>InternetSite</b:SourceType>
    <b:Guid>{8952788B-DF87-43BF-940C-6FFFCC1FBDFE}</b:Guid>
    <b:Author>
      <b:Author>
        <b:NameList>
          <b:Person>
            <b:Last>RobinB</b:Last>
          </b:Person>
        </b:NameList>
      </b:Author>
    </b:Author>
    <b:Title>Go to the grid</b:Title>
    <b:Year>2025</b:Year>
    <b:Month>April</b:Month>
    <b:Day>29</b:Day>
    <b:URL>https://www.gotothegrid.com/en/blog/the-truth-behind-f1s-budget-cap</b:URL>
    <b:RefOrder>4</b:RefOrder>
  </b:Source>
  <b:Source>
    <b:Tag>Mat26</b:Tag>
    <b:SourceType>InternetSite</b:SourceType>
    <b:Guid>{980E0DEA-6CBB-4E82-A59D-A18DE1265821}</b:Guid>
    <b:Author>
      <b:Author>
        <b:NameList>
          <b:Person>
            <b:Last>Coch</b:Last>
            <b:First>Mat</b:First>
          </b:Person>
        </b:NameList>
      </b:Author>
    </b:Author>
    <b:Year>2026</b:Year>
    <b:Month>April</b:Month>
    <b:Day>16</b:Day>
    <b:URL>https://www.planetf1.com/features/f1-team-valuations-2026-ferrari-mercedes-red-bull</b:URL>
    <b:Title>PlanetF1</b:Title>
    <b:RefOrder>2</b:RefOrder>
  </b:Source>
  <b:Source>
    <b:Tag>The26</b:Tag>
    <b:SourceType>InternetSite</b:SourceType>
    <b:Guid>{A6A9E77D-B8A7-4499-B530-B43085AE4166}</b:Guid>
    <b:Author>
      <b:Author>
        <b:NameList>
          <b:Person>
            <b:Last>TheF1JournalByHer</b:Last>
          </b:Person>
        </b:NameList>
      </b:Author>
    </b:Author>
    <b:Year>2026</b:Year>
    <b:Month>March</b:Month>
    <b:Day>11</b:Day>
    <b:URL>https://medium.com/@steenadas/why-billionaires-keep-pouring-money-into-f1-and-how-f1-teams-actually-get-paid-5a6840520a21</b:URL>
    <b:Title>Medium</b:Title>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52E726-EF14-40FA-B558-263D4ACF49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48fb6c-7dbd-49e1-9db2-f80c276600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98AA9-0E0E-42DA-AADF-83938C5202DE}">
  <ds:schemaRefs>
    <ds:schemaRef ds:uri="http://schemas.microsoft.com/sharepoint/v3/contenttype/forms"/>
  </ds:schemaRefs>
</ds:datastoreItem>
</file>

<file path=customXml/itemProps4.xml><?xml version="1.0" encoding="utf-8"?>
<ds:datastoreItem xmlns:ds="http://schemas.openxmlformats.org/officeDocument/2006/customXml" ds:itemID="{70A3B6C1-ADCD-4E8D-9B50-74CD791DDBE6}">
  <ds:schemaRefs>
    <ds:schemaRef ds:uri="http://schemas.microsoft.com/office/2006/metadata/properties"/>
    <ds:schemaRef ds:uri="http://schemas.microsoft.com/office/infopath/2007/PartnerControls"/>
    <ds:schemaRef ds:uri="de48fb6c-7dbd-49e1-9db2-f80c2766006c"/>
  </ds:schemaRefs>
</ds:datastoreItem>
</file>

<file path=customXml/itemProps5.xml><?xml version="1.0" encoding="utf-8"?>
<ds:datastoreItem xmlns:ds="http://schemas.openxmlformats.org/officeDocument/2006/customXml" ds:itemID="{EDFD3C1D-A216-4C80-A5A1-67271D8DE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11</Pages>
  <Words>3141</Words>
  <Characters>17905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of Speed</dc:title>
  <dc:subject>An anatomy of the billions behind the grid — where the money flows in, where it disappears, and who profits when the chequered flag falls in 2026's landmark new era.</dc:subject>
  <dc:creator>Juan Diego Alejandro Zuluaga Perez</dc:creator>
  <cp:keywords/>
  <dc:description/>
  <cp:lastModifiedBy>Juan Diego Alejandro Zuluaga Perez</cp:lastModifiedBy>
  <cp:revision>2</cp:revision>
  <dcterms:created xsi:type="dcterms:W3CDTF">2026-04-20T17:08:00Z</dcterms:created>
  <dcterms:modified xsi:type="dcterms:W3CDTF">2026-04-20T21:30:00Z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2026-04-20T21:29:30Z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4abbf859-a645-4760-a889-683915dffa07</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y fmtid="{D5CDD505-2E9C-101B-9397-08002B2CF9AE}" pid="10" name="ContentTypeId">
    <vt:lpwstr>0x010100F151B04C131E4740BF0DE13347E75EE5</vt:lpwstr>
  </property>
</Properties>
</file>