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color w:val="0d5c8f"/>
          <w:sz w:val="28"/>
          <w:szCs w:val="28"/>
        </w:rPr>
        <w:t xml:space="preserve">ORIVUS THERAPEUTICS</w:t>
      </w:r>
    </w:p>
    <w:p>
      <w:pPr>
        <w:spacing w:after="200"/>
        <w:jc w:val="left"/>
      </w:pPr>
      <w:r>
        <w:rPr>
          <w:color w:val="666666"/>
          <w:sz w:val="20"/>
          <w:szCs w:val="20"/>
        </w:rPr>
        <w:t xml:space="preserve">Medical Affairs Field Intelligence</w:t>
      </w:r>
    </w:p>
    <w:p>
      <w:pPr>
        <w:spacing w:after="0"/>
      </w:pPr>
      <w:r>
        <w:rPr>
          <w:b/>
          <w:bCs/>
        </w:rPr>
        <w:t xml:space="preserve">TO: </w:t>
      </w:r>
      <w:r>
        <w:t xml:space="preserve">OVT-209 Brand Team, USMA Leadership</w:t>
      </w:r>
    </w:p>
    <w:p>
      <w:pPr>
        <w:spacing w:after="0"/>
      </w:pPr>
      <w:r>
        <w:rPr>
          <w:b/>
          <w:bCs/>
        </w:rPr>
        <w:t xml:space="preserve">FROM: </w:t>
      </w:r>
      <w:r>
        <w:t xml:space="preserve">Sarah Chen, Associate Director, Medical Affairs</w:t>
      </w:r>
    </w:p>
    <w:p>
      <w:pPr>
        <w:spacing w:after="0"/>
      </w:pPr>
      <w:r>
        <w:rPr>
          <w:b/>
          <w:bCs/>
        </w:rPr>
        <w:t xml:space="preserve">DATE: </w:t>
      </w:r>
      <w:r>
        <w:t xml:space="preserve">June 3, 2025</w:t>
      </w:r>
    </w:p>
    <w:p>
      <w:pPr>
        <w:spacing w:after="0"/>
      </w:pPr>
      <w:r>
        <w:rPr>
          <w:b/>
          <w:bCs/>
        </w:rPr>
        <w:t xml:space="preserve">RE: </w:t>
      </w:r>
      <w:r>
        <w:t xml:space="preserve">ASCO 2025 Field Notes – OVT-209 NSCLC &amp; Competitive Intelligence</w:t>
      </w:r>
    </w:p>
    <w:p>
      <w:pPr>
        <w:pBdr>
          <w:bottom w:val="single" w:color="CCCCCC" w:sz="6"/>
        </w:pBdr>
        <w:spacing w:after="200"/>
      </w:pPr>
    </w:p>
    <w:p>
      <w:pPr>
        <w:spacing w:after="200"/>
      </w:pPr>
      <w:r>
        <w:t xml:space="preserve">Quick summary of key observations from ASCO 2025. These are raw notes from sessions and hallway conversations – will clean up for the formal debrief deck. Flagging the most important stuff now while it's fresh.</w:t>
      </w:r>
    </w:p>
    <w:p>
      <w:pPr>
        <w:pStyle w:val="Heading1"/>
      </w:pPr>
      <w:r>
        <w:t xml:space="preserve">OVT-209 Oral Presentation (Abstract #8502)</w:t>
      </w:r>
    </w:p>
    <w:p>
      <w:r>
        <w:t xml:space="preserve">Dr. Richardson's presentation was well-received overall. Room was maybe 70% full which is solid for a Phase 2 readout. Key data points that landed:</w:t>
      </w:r>
    </w:p>
    <w:p>
      <w:pPr>
        <w:spacing w:after="80"/>
      </w:pPr>
      <w:r>
        <w:rPr>
          <w:b/>
          <w:bCs/>
        </w:rPr>
        <w:t xml:space="preserve">• ORR of 47% (95% CI: 39-55%) </w:t>
      </w:r>
      <w:r>
        <w:t xml:space="preserve">– this got audible reactions from a few people. Significantly above the ~15% we see with docetaxel.</w:t>
      </w:r>
    </w:p>
    <w:p>
      <w:pPr>
        <w:spacing w:after="80"/>
      </w:pPr>
      <w:r>
        <w:rPr>
          <w:b/>
          <w:bCs/>
        </w:rPr>
        <w:t xml:space="preserve">• Median PFS 7.2 months </w:t>
      </w:r>
      <w:r>
        <w:t xml:space="preserve">– again, meaningful improvement over SOC (~4 months historical).</w:t>
      </w:r>
    </w:p>
    <w:p>
      <w:pPr>
        <w:spacing w:after="80"/>
      </w:pPr>
      <w:r>
        <w:rPr>
          <w:b/>
          <w:bCs/>
        </w:rPr>
        <w:t xml:space="preserve">• Duration of response: </w:t>
      </w:r>
      <w:r>
        <w:t xml:space="preserve">median not yet reached at data cutoff, but early signal of durability.</w:t>
      </w:r>
    </w:p>
    <w:p>
      <w:pPr>
        <w:spacing w:after="200"/>
      </w:pPr>
      <w:r>
        <w:rPr>
          <w:i/>
          <w:iCs/>
        </w:rPr>
        <w:t xml:space="preserve">Interesting subgroup observation: </w:t>
      </w:r>
      <w:r>
        <w:t xml:space="preserve">During Q&amp;A, Dr. Richardson mentioned that EGFR wild-type patients appeared to have numerically better responses than the overall population. She was careful to say it wasn't powered for subgroup analysis, but I saw several KOLs writing that down. Could be important for positioning.</w:t>
      </w:r>
    </w:p>
    <w:p>
      <w:pPr>
        <w:pStyle w:val="Heading1"/>
      </w:pPr>
      <w:r>
        <w:t xml:space="preserve">Safety Profile – KOL Reception</w:t>
      </w:r>
    </w:p>
    <w:p>
      <w:r>
        <w:t xml:space="preserve">The safety data was scrutinized heavily, as expected with ADCs. Key points:</w:t>
      </w:r>
    </w:p>
    <w:p>
      <w:pPr>
        <w:spacing w:after="80"/>
      </w:pPr>
      <w:r>
        <w:rPr>
          <w:b/>
          <w:bCs/>
        </w:rPr>
        <w:t xml:space="preserve">ILD rates: </w:t>
      </w:r>
      <w:r>
        <w:t xml:space="preserve">4.2% Grade 2+, no Grade 5 events. This came up in literally every conversation I had. KOLs seem cautiously reassured but want more follow-up data.</w:t>
      </w:r>
    </w:p>
    <w:p>
      <w:pPr>
        <w:spacing w:after="80"/>
      </w:pPr>
      <w:r>
        <w:rPr>
          <w:b/>
          <w:bCs/>
        </w:rPr>
        <w:t xml:space="preserve">Overall Grade 3+ AEs: </w:t>
      </w:r>
      <w:r>
        <w:t xml:space="preserve">18% – actually lower than some were expecting based on other ADC programs.</w:t>
      </w:r>
    </w:p>
    <w:p>
      <w:pPr>
        <w:spacing w:after="80"/>
      </w:pPr>
      <w:r>
        <w:rPr>
          <w:b/>
          <w:bCs/>
        </w:rPr>
        <w:t xml:space="preserve">Manageable tolerability: </w:t>
      </w:r>
      <w:r>
        <w:t xml:space="preserve">Nausea, fatigue, peripheral neuropathy were main issues. Most KOLs felt this was workable.</w:t>
      </w:r>
    </w:p>
    <w:p>
      <w:pPr>
        <w:spacing w:after="200"/>
      </w:pPr>
      <w:r>
        <w:rPr>
          <w:b/>
          <w:bCs/>
        </w:rPr>
        <w:t xml:space="preserve">Dr. Martinez (Memorial Sloan Kettering) </w:t>
      </w:r>
      <w:r>
        <w:t xml:space="preserve">pulled me aside after the session specifically to ask about our ILD monitoring protocol. She's clearly interested but wants to see our risk mitigation strategy before she'd consider it for her patients. Flagging for MSL follow-up – she's a key opinion leader we need to win over.</w:t>
      </w:r>
    </w:p>
    <w:p>
      <w:pPr>
        <w:pStyle w:val="Heading1"/>
      </w:pPr>
      <w:r>
        <w:t xml:space="preserve">Competitive Intelligence – Lunexorimab</w:t>
      </w:r>
    </w:p>
    <w:p>
      <w:r>
        <w:t xml:space="preserve">Axelion's Lunexorimab data was presented in the same session (Abstract #8504). Direct comparison:</w:t>
      </w:r>
    </w:p>
    <w:p>
      <w:pPr>
        <w:spacing w:after="80"/>
      </w:pPr>
      <w:r>
        <w:rPr>
          <w:b/>
          <w:bCs/>
        </w:rPr>
        <w:t xml:space="preserve">• Lunexorimab ORR: 42% </w:t>
      </w:r>
      <w:r>
        <w:t xml:space="preserve">(vs our 47% – numerically higher but CI overlap)</w:t>
      </w:r>
    </w:p>
    <w:p>
      <w:pPr>
        <w:spacing w:after="80"/>
      </w:pPr>
      <w:r>
        <w:rPr>
          <w:b/>
          <w:bCs/>
        </w:rPr>
        <w:t xml:space="preserve">• Lunexorimab PFS: 6.8 months </w:t>
      </w:r>
      <w:r>
        <w:t xml:space="preserve">(vs our 7.2 months – similar story)</w:t>
      </w:r>
    </w:p>
    <w:p>
      <w:pPr>
        <w:spacing w:after="80"/>
      </w:pPr>
      <w:r>
        <w:rPr>
          <w:b/>
          <w:bCs/>
        </w:rPr>
        <w:t xml:space="preserve">• Lunexorimab ILD: ~5% Grade 2+ </w:t>
      </w:r>
      <w:r>
        <w:t xml:space="preserve">– slightly higher than us, which several KOLs noted</w:t>
      </w:r>
    </w:p>
    <w:p>
      <w:pPr>
        <w:spacing w:after="200"/>
      </w:pPr>
      <w:r>
        <w:rPr>
          <w:i/>
          <w:iCs/>
        </w:rPr>
        <w:t xml:space="preserve">Overheard at poster session: </w:t>
      </w:r>
      <w:r>
        <w:t xml:space="preserve">Two thoracic oncologists discussing that they see OVT-209 and Lunexorimab as 'basically equivalent options' at this stage. One said she'd wait for head-to-head or more mature data before forming a strong preference. The other mentioned OVT-209's 'cleaner safety signal' but wanted more ILD follow-up. We need to find differentiation points beyond the numbers.</w:t>
      </w:r>
    </w:p>
    <w:p>
      <w:pPr>
        <w:pStyle w:val="Heading1"/>
      </w:pPr>
      <w:r>
        <w:t xml:space="preserve">KOL Conversations – Key Themes</w:t>
      </w:r>
    </w:p>
    <w:p>
      <w:pPr>
        <w:pStyle w:val="Heading2"/>
      </w:pPr>
      <w:r>
        <w:t xml:space="preserve">Dr. James Okonkwo (MD Anderson)</w:t>
      </w:r>
    </w:p>
    <w:p>
      <w:pPr>
        <w:spacing w:after="200"/>
      </w:pPr>
      <w:r>
        <w:t xml:space="preserve">Met him at the Orivus reception. Very positive on the efficacy data but pushed hard on sequencing questions. His main concern: where does OVT-209 fit in the treatment algorithm? He's seeing most patients after IO progression and wants clarity on whether OVT-209 works equally well across all post-IO settings or if there's a sweet spot (2L vs 3L+). Also asked about EGFR mutant patients – I mentioned the subgroup signal from the presentation and he was very interested. Said he'd be open to participating in the Phase 3 if we expand sites.</w:t>
      </w:r>
    </w:p>
    <w:p>
      <w:pPr>
        <w:pStyle w:val="Heading2"/>
      </w:pPr>
      <w:r>
        <w:t xml:space="preserve">Dr. Yuki Tanaka (National Cancer Center Japan)</w:t>
      </w:r>
    </w:p>
    <w:p>
      <w:pPr>
        <w:spacing w:after="200"/>
      </w:pPr>
      <w:r>
        <w:t xml:space="preserve">Grabbed coffee with her on Day 2. She's very plugged into APAC regulatory thinking. Key intel: </w:t>
      </w:r>
      <w:r>
        <w:rPr>
          <w:b/>
          <w:bCs/>
        </w:rPr>
        <w:t xml:space="preserve">Japan PMDA is increasingly open to accelerated approval pathways for ADCs with strong ORR data. </w:t>
      </w:r>
      <w:r>
        <w:t xml:space="preserve">She thinks our Phase 2 results could support a PMDA submission if we include Japanese sites in Phase 3. Also mentioned that Korean MFDS often follows PMDA decisions within 6-12 months. Worth discussing with regulatory team – could be a differentiated launch strategy vs Lunexorimab if we move faster in APAC.</w:t>
      </w:r>
    </w:p>
    <w:p>
      <w:pPr>
        <w:pStyle w:val="Heading2"/>
      </w:pPr>
      <w:r>
        <w:t xml:space="preserve">Dr. Elena Vasquez (Hospital Clinic Barcelona)</w:t>
      </w:r>
    </w:p>
    <w:p>
      <w:pPr>
        <w:spacing w:after="200"/>
      </w:pPr>
      <w:r>
        <w:t xml:space="preserve">Brief chat at the European Lung Cancer session. She's cautious overall – wants to see OS data before getting excited. Her quote: </w:t>
      </w:r>
      <w:r>
        <w:rPr>
          <w:i/>
          <w:iCs/>
        </w:rPr>
        <w:t xml:space="preserve">"PFS is nice but my patients want to know if they'll live longer, not just progress later." </w:t>
      </w:r>
      <w:r>
        <w:t xml:space="preserve">Fair point. She did say the safety profile was encouraging and she'd consider enrolling patients in our registrational trial if it opens sites in Spain. Noted that EMA will likely require more mature data than FDA for approval – something to factor into our EU strategy.</w:t>
      </w:r>
    </w:p>
    <w:p>
      <w:pPr>
        <w:pStyle w:val="Heading1"/>
      </w:pPr>
      <w:r>
        <w:t xml:space="preserve">Other Observations (Non-NSCLC)</w:t>
      </w:r>
    </w:p>
    <w:p>
      <w:pPr>
        <w:spacing w:after="200"/>
      </w:pPr>
      <w:r>
        <w:t xml:space="preserve">Also caught the OVT-209 breast cancer poster (HER2-low updated results). Strong data but that's Maria's territory so I'll let her team debrief separately. The NSCLC story is what's new and what leadership is focused on.</w:t>
      </w:r>
    </w:p>
    <w:p>
      <w:pPr>
        <w:spacing w:after="200"/>
      </w:pPr>
      <w:r>
        <w:t xml:space="preserve">Ran into Dr. Park from Samsung Medical Center at the Daiichi Sankyo satellite symposium on Dato-DXd. Dato-DXd Phase 3 TROPION-Lung01 data looks solid – </w:t>
      </w:r>
      <w:r>
        <w:rPr>
          <w:b/>
          <w:bCs/>
        </w:rPr>
        <w:t xml:space="preserve">they're positioning for 2L+ NSCLC with TROP2 expression. </w:t>
      </w:r>
      <w:r>
        <w:t xml:space="preserve">Different target than us (TROP2 vs our novel conjugate) but will compete for same patient population. Dr. Park thinks there could be room for both depending on biomarker profiles. Worth tracking closely.</w:t>
      </w:r>
    </w:p>
    <w:p>
      <w:pPr>
        <w:pStyle w:val="Heading1"/>
      </w:pPr>
      <w:r>
        <w:t xml:space="preserve">Unverified Intel (Take with Grain of Salt)</w:t>
      </w:r>
    </w:p>
    <w:p>
      <w:pPr>
        <w:spacing w:after="80"/>
      </w:pPr>
      <w:r>
        <w:rPr>
          <w:b/>
          <w:bCs/>
        </w:rPr>
        <w:t xml:space="preserve">• </w:t>
      </w:r>
      <w:r>
        <w:t xml:space="preserve">Heard at the BIO reception that Axelion might announce Lunexorimab Phase 3 initiation at their Q3 investor day. Would accelerate competitive timeline significantly.</w:t>
      </w:r>
    </w:p>
    <w:p>
      <w:pPr>
        <w:spacing w:after="80"/>
      </w:pPr>
      <w:r>
        <w:rPr>
          <w:b/>
          <w:bCs/>
        </w:rPr>
        <w:t xml:space="preserve">• </w:t>
      </w:r>
      <w:r>
        <w:t xml:space="preserve">Rumor floating around that one of the big pharmas (didn't catch which) is sniffing around smaller ADC players for BD opportunities. Probably just conference chatter but FYI.</w:t>
      </w:r>
    </w:p>
    <w:p>
      <w:pPr>
        <w:spacing w:after="200"/>
      </w:pPr>
      <w:r>
        <w:rPr>
          <w:b/>
          <w:bCs/>
        </w:rPr>
        <w:t xml:space="preserve">• </w:t>
      </w:r>
      <w:r>
        <w:t xml:space="preserve">Someone mentioned Tagrisso resistance patterns are creating more demand for 2L+ options – could be tailwind for our timing. Need to verify with real-world data.</w:t>
      </w:r>
    </w:p>
    <w:p>
      <w:pPr>
        <w:pStyle w:val="Heading1"/>
      </w:pPr>
      <w:r>
        <w:t xml:space="preserve">Immediate Follow-Ups Needed</w:t>
      </w:r>
    </w:p>
    <w:p>
      <w:pPr>
        <w:spacing w:after="80"/>
      </w:pPr>
      <w:r>
        <w:t xml:space="preserve">1. Schedule MSL follow-up with Dr. Martinez (MSK) re: ILD monitoring protocol – she's ready to engage</w:t>
      </w:r>
    </w:p>
    <w:p>
      <w:pPr>
        <w:spacing w:after="80"/>
      </w:pPr>
      <w:r>
        <w:t xml:space="preserve">2. Connect Dr. Okonkwo with clinical team re: Phase 3 site expansion</w:t>
      </w:r>
    </w:p>
    <w:p>
      <w:pPr>
        <w:spacing w:after="80"/>
      </w:pPr>
      <w:r>
        <w:t xml:space="preserve">3. Brief regulatory on APAC pathway intel from Dr. Tanaka</w:t>
      </w:r>
    </w:p>
    <w:p>
      <w:pPr>
        <w:spacing w:after="80"/>
      </w:pPr>
      <w:r>
        <w:t xml:space="preserve">4. Competitive intel team to monitor Axelion investor communications</w:t>
      </w:r>
    </w:p>
    <w:p>
      <w:pPr>
        <w:spacing w:after="200"/>
      </w:pPr>
      <w:r>
        <w:t xml:space="preserve">5. Request subgroup analysis data from biostatistics (EGFR wild-type signal)</w:t>
      </w:r>
    </w:p>
    <w:p>
      <w:pPr>
        <w:spacing w:before="300"/>
      </w:pPr>
      <w:r>
        <w:t xml:space="preserve">Will have full debrief deck ready by EOW. Let me know if you need anything sooner.</w:t>
      </w:r>
    </w:p>
    <w:p>
      <w:pPr>
        <w:spacing w:after="0"/>
      </w:pPr>
      <w:r>
        <w:t xml:space="preserve">– Sarah</w:t>
      </w:r>
    </w:p>
    <w:p>
      <w:pPr>
        <w:spacing w:before="400"/>
      </w:pPr>
      <w:r>
        <w:rPr>
          <w:i/>
          <w:iCs/>
          <w:color w:val="666666"/>
          <w:sz w:val="20"/>
          <w:szCs w:val="20"/>
        </w:rPr>
        <w:t xml:space="preserve">P.S. Flight got cancelled so I'm stuck in Chicago until tomorrow. Will dial into the Thursday team call from the airport lounge if it comes to that.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d5c8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8b57"/>
      <w:sz w:val="24"/>
      <w:szCs w:val="24"/>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2025-12-19T17:46:31.939Z</dcterms:created>
  <dcterms:modified xsi:type="dcterms:W3CDTF">2025-12-19T17:46:31.940Z</dcterms:modified>
</cp:coreProperties>
</file>

<file path=docProps/custom.xml><?xml version="1.0" encoding="utf-8"?>
<Properties xmlns="http://schemas.openxmlformats.org/officeDocument/2006/custom-properties" xmlns:vt="http://schemas.openxmlformats.org/officeDocument/2006/docPropsVTypes"/>
</file>