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39107" w14:textId="77777777" w:rsidR="001B2769" w:rsidRDefault="00000000">
      <w:pPr>
        <w:pStyle w:val="Title"/>
      </w:pPr>
      <w:r>
        <w:t>MBA Intern Take-Home Assignment</w:t>
      </w:r>
    </w:p>
    <w:p w14:paraId="6B8F7FE6" w14:textId="77777777" w:rsidR="001B2769" w:rsidRDefault="00000000">
      <w:r>
        <w:rPr>
          <w:color w:val="555555"/>
          <w:sz w:val="28"/>
          <w:szCs w:val="28"/>
        </w:rPr>
        <w:t>Congress Insights Report</w:t>
      </w:r>
    </w:p>
    <w:p w14:paraId="7B2A89E5" w14:textId="77777777" w:rsidR="001B2769" w:rsidRDefault="001B2769">
      <w:pPr>
        <w:spacing w:before="40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B2769" w14:paraId="46C033A3"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3CD"/>
          </w:tcPr>
          <w:p w14:paraId="29F91340" w14:textId="77777777" w:rsidR="001B2769" w:rsidRDefault="00000000">
            <w:pPr>
              <w:spacing w:before="100" w:after="100"/>
            </w:pPr>
            <w:r>
              <w:rPr>
                <w:b/>
                <w:bCs/>
              </w:rPr>
              <w:t>Important Note</w:t>
            </w:r>
          </w:p>
          <w:p w14:paraId="536437DE" w14:textId="77777777" w:rsidR="001B2769" w:rsidRDefault="00000000">
            <w:pPr>
              <w:spacing w:after="100"/>
            </w:pPr>
            <w:r>
              <w:rPr>
                <w:sz w:val="20"/>
                <w:szCs w:val="20"/>
              </w:rPr>
              <w:t>This exercise uses a fictional pharmaceutical company (</w:t>
            </w:r>
            <w:proofErr w:type="spellStart"/>
            <w:r>
              <w:rPr>
                <w:sz w:val="20"/>
                <w:szCs w:val="20"/>
              </w:rPr>
              <w:t>Orivus</w:t>
            </w:r>
            <w:proofErr w:type="spellEnd"/>
            <w:r>
              <w:rPr>
                <w:sz w:val="20"/>
                <w:szCs w:val="20"/>
              </w:rPr>
              <w:t xml:space="preserve"> Therapeutics) with fictional data. Any resemblance to real clinical programs, data, or outcomes is coincidental. The congress (ASCO) and general industry context are real, but all company-specific information has been fabricated for assessment purposes.</w:t>
            </w:r>
          </w:p>
        </w:tc>
      </w:tr>
    </w:tbl>
    <w:p w14:paraId="5689D4F2" w14:textId="77777777" w:rsidR="001B2769" w:rsidRDefault="00000000">
      <w:pPr>
        <w:pStyle w:val="Heading1"/>
      </w:pPr>
      <w:r>
        <w:t>Background</w:t>
      </w:r>
    </w:p>
    <w:p w14:paraId="00BB34DD" w14:textId="77777777" w:rsidR="001B2769" w:rsidRDefault="00000000">
      <w:pPr>
        <w:pStyle w:val="Heading2"/>
      </w:pPr>
      <w:r>
        <w:t>About Atrix AI</w:t>
      </w:r>
    </w:p>
    <w:p w14:paraId="5D2531D4" w14:textId="77777777" w:rsidR="00184B22" w:rsidRPr="00184B22" w:rsidRDefault="00184B22" w:rsidP="00184B22">
      <w:pPr>
        <w:pStyle w:val="Heading2"/>
        <w:rPr>
          <w:b w:val="0"/>
          <w:bCs w:val="0"/>
          <w:color w:val="auto"/>
          <w:sz w:val="22"/>
          <w:szCs w:val="22"/>
        </w:rPr>
      </w:pPr>
      <w:r w:rsidRPr="00184B22">
        <w:rPr>
          <w:b w:val="0"/>
          <w:bCs w:val="0"/>
          <w:color w:val="auto"/>
          <w:sz w:val="22"/>
          <w:szCs w:val="22"/>
        </w:rPr>
        <w:t>Atrix AI builds intelligence infrastructure for life sciences companies — pharmaceutical, biotech, and medical device. The platform ingests unstructured data across a company's field and scientific operations and turns it into structured, decision-ready analysis. Atrix has a CRM product, configurable dashboards, and a range of analytical capabilities.</w:t>
      </w:r>
    </w:p>
    <w:p w14:paraId="76F57B36" w14:textId="77777777" w:rsidR="00184B22" w:rsidRPr="00184B22" w:rsidRDefault="00184B22" w:rsidP="00184B22">
      <w:pPr>
        <w:pStyle w:val="Heading2"/>
        <w:rPr>
          <w:b w:val="0"/>
          <w:bCs w:val="0"/>
          <w:color w:val="auto"/>
          <w:sz w:val="22"/>
          <w:szCs w:val="22"/>
        </w:rPr>
      </w:pPr>
      <w:r w:rsidRPr="00184B22">
        <w:rPr>
          <w:b w:val="0"/>
          <w:bCs w:val="0"/>
          <w:color w:val="auto"/>
          <w:sz w:val="22"/>
          <w:szCs w:val="22"/>
        </w:rPr>
        <w:t>The capability this case focuses on is automated end-to-end report workflows. Life sciences companies today pay specialized agencies or consultancies roughly $30,000 per report to synthesize field intelligence into a presentation-ready deliverable. These reports inform strategy, budget decisions, and sometimes choices involving hundreds of millions of dollars — which clinical trials to advance, whether a field initiative is generating return, how to position an asset pre-launch. The audience ranges from MSL teams in the field to Medical Affairs VPs to, in some cases, the CEO.</w:t>
      </w:r>
    </w:p>
    <w:p w14:paraId="52C62585" w14:textId="7B9B6729" w:rsidR="00184B22" w:rsidRDefault="00184B22" w:rsidP="00184B22">
      <w:pPr>
        <w:pStyle w:val="Heading2"/>
        <w:rPr>
          <w:b w:val="0"/>
          <w:bCs w:val="0"/>
          <w:color w:val="auto"/>
          <w:sz w:val="22"/>
          <w:szCs w:val="22"/>
        </w:rPr>
      </w:pPr>
      <w:proofErr w:type="spellStart"/>
      <w:r w:rsidRPr="00184B22">
        <w:rPr>
          <w:b w:val="0"/>
          <w:bCs w:val="0"/>
          <w:color w:val="auto"/>
          <w:sz w:val="22"/>
          <w:szCs w:val="22"/>
        </w:rPr>
        <w:t>Atrix's</w:t>
      </w:r>
      <w:proofErr w:type="spellEnd"/>
      <w:r w:rsidRPr="00184B22">
        <w:rPr>
          <w:b w:val="0"/>
          <w:bCs w:val="0"/>
          <w:color w:val="auto"/>
          <w:sz w:val="22"/>
          <w:szCs w:val="22"/>
        </w:rPr>
        <w:t xml:space="preserve"> initial wedge and primary early use case is </w:t>
      </w:r>
      <w:r>
        <w:rPr>
          <w:b w:val="0"/>
          <w:bCs w:val="0"/>
          <w:color w:val="auto"/>
          <w:sz w:val="22"/>
          <w:szCs w:val="22"/>
        </w:rPr>
        <w:t xml:space="preserve">within </w:t>
      </w:r>
      <w:r w:rsidRPr="00184B22">
        <w:rPr>
          <w:b w:val="0"/>
          <w:bCs w:val="0"/>
          <w:color w:val="auto"/>
          <w:sz w:val="22"/>
          <w:szCs w:val="22"/>
        </w:rPr>
        <w:t>Medical Affairs, where the data is richest and the synthesis problem most acute. The platform turns what currently takes an agency three weeks and $30k into something a team can run themselves. Every output is traceable — each finding links to the specific source record that generated it.</w:t>
      </w:r>
    </w:p>
    <w:p w14:paraId="5CD00487" w14:textId="303094B8" w:rsidR="001B2769" w:rsidRDefault="00000000" w:rsidP="00184B22">
      <w:pPr>
        <w:pStyle w:val="Heading2"/>
      </w:pPr>
      <w:r>
        <w:t xml:space="preserve">The Customer: </w:t>
      </w:r>
      <w:proofErr w:type="spellStart"/>
      <w:r>
        <w:t>Orivus</w:t>
      </w:r>
      <w:proofErr w:type="spellEnd"/>
      <w:r>
        <w:t xml:space="preserve"> Therapeutics</w:t>
      </w:r>
    </w:p>
    <w:p w14:paraId="47A3689F" w14:textId="77777777" w:rsidR="00184B22" w:rsidRDefault="00184B22" w:rsidP="00184B22">
      <w:pPr>
        <w:spacing w:after="200"/>
      </w:pPr>
      <w:r>
        <w:t xml:space="preserve">Your customer is </w:t>
      </w:r>
      <w:proofErr w:type="spellStart"/>
      <w:r>
        <w:t>Orivus</w:t>
      </w:r>
      <w:proofErr w:type="spellEnd"/>
      <w:r>
        <w:t xml:space="preserve"> Therapeutics, a mid-size oncology-focused pharmaceutical company. </w:t>
      </w:r>
      <w:proofErr w:type="spellStart"/>
      <w:r>
        <w:t>Orivus</w:t>
      </w:r>
      <w:proofErr w:type="spellEnd"/>
      <w:r>
        <w:t xml:space="preserve"> has a growing portfolio across solid tumors. Their flagship asset is OVT-209 (</w:t>
      </w:r>
      <w:proofErr w:type="spellStart"/>
      <w:r>
        <w:t>orvitinib</w:t>
      </w:r>
      <w:proofErr w:type="spellEnd"/>
      <w:r>
        <w:t>), an antibody-drug conjugate with an approved breast cancer indication and a Phase II NSCLC program. Phase II NSCLC data was presented at ASCO 2025.</w:t>
      </w:r>
    </w:p>
    <w:p w14:paraId="503F478B" w14:textId="28C22B26" w:rsidR="001B2769" w:rsidRDefault="00184B22" w:rsidP="00184B22">
      <w:pPr>
        <w:spacing w:after="200"/>
      </w:pPr>
      <w:proofErr w:type="spellStart"/>
      <w:r>
        <w:t>Orivus</w:t>
      </w:r>
      <w:proofErr w:type="spellEnd"/>
      <w:r>
        <w:t xml:space="preserve"> recently signed with Atrix to run field intelligence for the NSCLC program. Your counterpart is Lisa Park, Sr. Manager of Medical Affairs Operations. Below is your email thread with Lisa.</w:t>
      </w:r>
    </w:p>
    <w:p w14:paraId="46D50EA3" w14:textId="77777777" w:rsidR="00184B22" w:rsidRDefault="00184B22" w:rsidP="00184B22">
      <w:pPr>
        <w:spacing w:after="200"/>
      </w:pPr>
    </w:p>
    <w:p w14:paraId="0BA86E4F" w14:textId="77777777" w:rsidR="001B2769" w:rsidRDefault="00000000">
      <w:pPr>
        <w:pStyle w:val="Heading1"/>
      </w:pPr>
      <w:r>
        <w:t>The Engagement</w:t>
      </w:r>
    </w:p>
    <w:p w14:paraId="579C8E56" w14:textId="77777777" w:rsidR="001B2769" w:rsidRDefault="00000000">
      <w:pPr>
        <w:pStyle w:val="Heading2"/>
      </w:pPr>
      <w:r>
        <w:t>Congress in Scope</w:t>
      </w:r>
    </w:p>
    <w:p w14:paraId="2C0D5794" w14:textId="77777777" w:rsidR="001B2769" w:rsidRDefault="00000000">
      <w:pPr>
        <w:spacing w:after="80"/>
      </w:pPr>
      <w:r>
        <w:rPr>
          <w:b/>
          <w:bCs/>
        </w:rPr>
        <w:t xml:space="preserve">ASCO 2025 </w:t>
      </w:r>
      <w:r>
        <w:t>(American Society of Clinical Oncology Annual Meeting)</w:t>
      </w:r>
    </w:p>
    <w:p w14:paraId="16E5968B" w14:textId="77777777" w:rsidR="001B2769" w:rsidRDefault="00000000">
      <w:pPr>
        <w:spacing w:after="80"/>
        <w:ind w:left="360"/>
      </w:pPr>
      <w:r>
        <w:lastRenderedPageBreak/>
        <w:t>The largest oncology congress globally, focused on cancer research and treatment</w:t>
      </w:r>
    </w:p>
    <w:p w14:paraId="00CD1ACE" w14:textId="77777777" w:rsidR="001B2769" w:rsidRDefault="00000000">
      <w:pPr>
        <w:spacing w:after="80"/>
        <w:ind w:left="360"/>
      </w:pPr>
      <w:r>
        <w:rPr>
          <w:b/>
          <w:bCs/>
        </w:rPr>
        <w:t>Dates: May 30 - June 3, 2025</w:t>
      </w:r>
      <w:r>
        <w:t xml:space="preserve"> (Chicago, IL)</w:t>
      </w:r>
    </w:p>
    <w:p w14:paraId="578A0F2D" w14:textId="77777777" w:rsidR="001B2769" w:rsidRDefault="00000000">
      <w:pPr>
        <w:spacing w:after="200"/>
        <w:ind w:left="360"/>
      </w:pPr>
      <w:proofErr w:type="spellStart"/>
      <w:r>
        <w:t>Orivus</w:t>
      </w:r>
      <w:proofErr w:type="spellEnd"/>
      <w:r>
        <w:t xml:space="preserve"> presented new data across their breast and lung cancer portfolio</w:t>
      </w:r>
    </w:p>
    <w:p w14:paraId="66750FFB" w14:textId="0A3740C7" w:rsidR="001B2769" w:rsidRDefault="00000000">
      <w:pPr>
        <w:pStyle w:val="Heading2"/>
      </w:pPr>
      <w:r>
        <w:t>The Problem with Their Current Approach</w:t>
      </w:r>
      <w:r w:rsidR="00D21504">
        <w:t xml:space="preserve"> (Legacy Agency Report)</w:t>
      </w:r>
    </w:p>
    <w:p w14:paraId="33F3054C" w14:textId="77777777" w:rsidR="001B2769" w:rsidRDefault="00000000">
      <w:pPr>
        <w:spacing w:after="120"/>
      </w:pPr>
      <w:proofErr w:type="spellStart"/>
      <w:r>
        <w:t>Orivus</w:t>
      </w:r>
      <w:proofErr w:type="spellEnd"/>
      <w:r>
        <w:t xml:space="preserve"> has an existing insights provider, but leadership is frustrated:</w:t>
      </w:r>
    </w:p>
    <w:p w14:paraId="0D1F0AC8" w14:textId="77777777" w:rsidR="001B2769" w:rsidRDefault="00000000">
      <w:pPr>
        <w:spacing w:after="80"/>
        <w:ind w:left="360"/>
      </w:pPr>
      <w:r>
        <w:rPr>
          <w:b/>
          <w:bCs/>
        </w:rPr>
        <w:t xml:space="preserve">Lack of magnitude: </w:t>
      </w:r>
      <w:r>
        <w:t>Reports read like summaries rather than analysis. There's no sense of which insights are widely echoed across MSLs versus one-off observations. Everything feels equally weighted.</w:t>
      </w:r>
    </w:p>
    <w:p w14:paraId="7AED49C8" w14:textId="77777777" w:rsidR="001B2769" w:rsidRDefault="00000000">
      <w:pPr>
        <w:spacing w:after="80"/>
        <w:ind w:left="360"/>
      </w:pPr>
      <w:r>
        <w:rPr>
          <w:b/>
          <w:bCs/>
        </w:rPr>
        <w:t xml:space="preserve">Too vague: </w:t>
      </w:r>
      <w:r>
        <w:t xml:space="preserve">Insights often feel generic or surface-level, missing the nuance that would </w:t>
      </w:r>
      <w:proofErr w:type="gramStart"/>
      <w:r>
        <w:t>actually inform</w:t>
      </w:r>
      <w:proofErr w:type="gramEnd"/>
      <w:r>
        <w:t xml:space="preserve"> strategy.</w:t>
      </w:r>
    </w:p>
    <w:p w14:paraId="7C348785" w14:textId="77777777" w:rsidR="001B2769" w:rsidRDefault="00000000">
      <w:pPr>
        <w:spacing w:after="120"/>
        <w:ind w:left="360"/>
      </w:pPr>
      <w:r>
        <w:rPr>
          <w:b/>
          <w:bCs/>
        </w:rPr>
        <w:t xml:space="preserve">Tells them what they already know: </w:t>
      </w:r>
      <w:r>
        <w:t>Many "insights" reflect consensus views that have been true for years. Leadership wants to understand what's new and what's shifting, not reconfirm established narratives.</w:t>
      </w:r>
    </w:p>
    <w:p w14:paraId="4401CB24" w14:textId="77777777" w:rsidR="00184B22" w:rsidRDefault="00184B22">
      <w:pPr>
        <w:spacing w:after="120"/>
        <w:ind w:left="360"/>
      </w:pPr>
      <w:r>
        <w:rPr>
          <w:b/>
          <w:bCs/>
        </w:rPr>
        <w:t>Not traceable:</w:t>
      </w:r>
      <w:r>
        <w:t xml:space="preserve"> These reports don’t link back to the source data, so it’s hard to validate.</w:t>
      </w:r>
    </w:p>
    <w:p w14:paraId="1D1C6A5A" w14:textId="546EEDED" w:rsidR="00184B22" w:rsidRDefault="00184B22">
      <w:pPr>
        <w:spacing w:after="120"/>
        <w:ind w:left="360"/>
      </w:pPr>
      <w:r>
        <w:rPr>
          <w:b/>
          <w:bCs/>
        </w:rPr>
        <w:t>Not actionable:</w:t>
      </w:r>
      <w:r>
        <w:t xml:space="preserve"> Leadership takes the agency report and then maps the info to try to answer their KITs &amp; KIQs. This adds an extra step to value-delivery for their executive team. </w:t>
      </w:r>
    </w:p>
    <w:p w14:paraId="064001EA" w14:textId="77777777" w:rsidR="001B2769" w:rsidRDefault="00000000">
      <w:pPr>
        <w:spacing w:after="200"/>
      </w:pPr>
      <w:r>
        <w:rPr>
          <w:b/>
          <w:bCs/>
          <w:i/>
          <w:iCs/>
        </w:rPr>
        <w:t>They want reporting that surfaces nuance, prioritizes what matters, and distinguishes signal from noise.</w:t>
      </w:r>
    </w:p>
    <w:p w14:paraId="60962694" w14:textId="77777777" w:rsidR="001B2769" w:rsidRDefault="00000000">
      <w:pPr>
        <w:pStyle w:val="Heading1"/>
      </w:pPr>
      <w:r>
        <w:t>Stakeholders</w:t>
      </w:r>
    </w:p>
    <w:p w14:paraId="7B52DAEC" w14:textId="77777777" w:rsidR="001B2769" w:rsidRDefault="00000000">
      <w:pPr>
        <w:spacing w:after="120"/>
      </w:pPr>
      <w:r>
        <w:t xml:space="preserve">The primary investor in this project is the </w:t>
      </w:r>
      <w:r>
        <w:rPr>
          <w:b/>
          <w:bCs/>
        </w:rPr>
        <w:t>USMA (US Medical Affairs)</w:t>
      </w:r>
      <w:r>
        <w:t xml:space="preserve"> team.</w:t>
      </w:r>
    </w:p>
    <w:p w14:paraId="34A583CD" w14:textId="77777777" w:rsidR="001B2769" w:rsidRDefault="00000000">
      <w:pPr>
        <w:spacing w:after="80"/>
      </w:pPr>
      <w:r>
        <w:t xml:space="preserve">However, </w:t>
      </w:r>
      <w:proofErr w:type="spellStart"/>
      <w:r>
        <w:t>Orivus</w:t>
      </w:r>
      <w:proofErr w:type="spellEnd"/>
      <w:r>
        <w:t xml:space="preserve"> and Atrix see expansion opportunities to:</w:t>
      </w:r>
    </w:p>
    <w:p w14:paraId="4CBE10E2" w14:textId="77777777" w:rsidR="001B2769" w:rsidRDefault="00000000">
      <w:pPr>
        <w:spacing w:after="80"/>
        <w:ind w:left="360"/>
      </w:pPr>
      <w:r>
        <w:rPr>
          <w:b/>
          <w:bCs/>
        </w:rPr>
        <w:t xml:space="preserve">APAC </w:t>
      </w:r>
      <w:r>
        <w:t>(Asia Pacific)</w:t>
      </w:r>
    </w:p>
    <w:p w14:paraId="329A9DE5" w14:textId="77777777" w:rsidR="001B2769" w:rsidRDefault="00000000">
      <w:pPr>
        <w:spacing w:after="120"/>
        <w:ind w:left="360"/>
      </w:pPr>
      <w:r>
        <w:rPr>
          <w:b/>
          <w:bCs/>
        </w:rPr>
        <w:t xml:space="preserve">EUCAN </w:t>
      </w:r>
      <w:r>
        <w:t>(Europe, Canada)</w:t>
      </w:r>
    </w:p>
    <w:p w14:paraId="70A83454" w14:textId="77777777" w:rsidR="001B2769" w:rsidRDefault="00000000">
      <w:pPr>
        <w:spacing w:after="200"/>
      </w:pPr>
      <w:r>
        <w:t>The data you'll receive includes insights captured across all regions, though the initial report focus is US-centric.</w:t>
      </w:r>
    </w:p>
    <w:p w14:paraId="7FEC680F" w14:textId="77777777" w:rsidR="001B2769" w:rsidRDefault="00000000">
      <w:pPr>
        <w:pStyle w:val="Heading1"/>
      </w:pPr>
      <w:r>
        <w:t>Materials Provided</w:t>
      </w:r>
    </w:p>
    <w:p w14:paraId="2B60F6B8" w14:textId="77777777" w:rsidR="001B2769" w:rsidRDefault="00000000">
      <w:pPr>
        <w:spacing w:after="200"/>
      </w:pPr>
      <w:r>
        <w:t xml:space="preserve">You will receive the following source files. These are intentionally imperfect - </w:t>
      </w:r>
      <w:proofErr w:type="gramStart"/>
      <w:r>
        <w:t>similar to</w:t>
      </w:r>
      <w:proofErr w:type="gramEnd"/>
      <w:r>
        <w:t xml:space="preserve"> real-world inputs you would encounter in this role.</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1200"/>
        <w:gridCol w:w="5660"/>
      </w:tblGrid>
      <w:tr w:rsidR="001B2769" w14:paraId="2E4DEDD9"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A3A52"/>
          </w:tcPr>
          <w:p w14:paraId="41E5C0A5" w14:textId="77777777" w:rsidR="001B2769" w:rsidRDefault="00000000">
            <w:r>
              <w:rPr>
                <w:b/>
                <w:bCs/>
                <w:color w:val="FFFFFF"/>
              </w:rPr>
              <w:t>File</w:t>
            </w:r>
          </w:p>
        </w:tc>
        <w:tc>
          <w:tcPr>
            <w:tcW w:w="1200" w:type="dxa"/>
            <w:tcBorders>
              <w:top w:val="single" w:sz="4" w:space="0" w:color="CCCCCC"/>
              <w:left w:val="single" w:sz="4" w:space="0" w:color="CCCCCC"/>
              <w:bottom w:val="single" w:sz="4" w:space="0" w:color="CCCCCC"/>
              <w:right w:val="single" w:sz="4" w:space="0" w:color="CCCCCC"/>
            </w:tcBorders>
            <w:shd w:val="clear" w:color="auto" w:fill="1A3A52"/>
          </w:tcPr>
          <w:p w14:paraId="261C3E94" w14:textId="77777777" w:rsidR="001B2769" w:rsidRDefault="00000000">
            <w:r>
              <w:rPr>
                <w:b/>
                <w:bCs/>
                <w:color w:val="FFFFFF"/>
              </w:rPr>
              <w:t>Format</w:t>
            </w:r>
          </w:p>
        </w:tc>
        <w:tc>
          <w:tcPr>
            <w:tcW w:w="5660" w:type="dxa"/>
            <w:tcBorders>
              <w:top w:val="single" w:sz="4" w:space="0" w:color="CCCCCC"/>
              <w:left w:val="single" w:sz="4" w:space="0" w:color="CCCCCC"/>
              <w:bottom w:val="single" w:sz="4" w:space="0" w:color="CCCCCC"/>
              <w:right w:val="single" w:sz="4" w:space="0" w:color="CCCCCC"/>
            </w:tcBorders>
            <w:shd w:val="clear" w:color="auto" w:fill="1A3A52"/>
          </w:tcPr>
          <w:p w14:paraId="249975EE" w14:textId="77777777" w:rsidR="001B2769" w:rsidRDefault="00000000">
            <w:r>
              <w:rPr>
                <w:b/>
                <w:bCs/>
                <w:color w:val="FFFFFF"/>
              </w:rPr>
              <w:t>Description</w:t>
            </w:r>
          </w:p>
        </w:tc>
      </w:tr>
      <w:tr w:rsidR="001B2769" w14:paraId="3FA14B24" w14:textId="77777777">
        <w:tc>
          <w:tcPr>
            <w:tcW w:w="2500" w:type="dxa"/>
            <w:tcBorders>
              <w:top w:val="single" w:sz="4" w:space="0" w:color="CCCCCC"/>
              <w:left w:val="single" w:sz="4" w:space="0" w:color="CCCCCC"/>
              <w:bottom w:val="single" w:sz="4" w:space="0" w:color="CCCCCC"/>
              <w:right w:val="single" w:sz="4" w:space="0" w:color="CCCCCC"/>
            </w:tcBorders>
          </w:tcPr>
          <w:p w14:paraId="7EAA751F" w14:textId="77777777" w:rsidR="001B2769" w:rsidRDefault="00000000">
            <w:r>
              <w:rPr>
                <w:b/>
                <w:bCs/>
                <w:sz w:val="20"/>
                <w:szCs w:val="20"/>
              </w:rPr>
              <w:t>KITs and KIQs Document</w:t>
            </w:r>
          </w:p>
        </w:tc>
        <w:tc>
          <w:tcPr>
            <w:tcW w:w="1200" w:type="dxa"/>
            <w:tcBorders>
              <w:top w:val="single" w:sz="4" w:space="0" w:color="CCCCCC"/>
              <w:left w:val="single" w:sz="4" w:space="0" w:color="CCCCCC"/>
              <w:bottom w:val="single" w:sz="4" w:space="0" w:color="CCCCCC"/>
              <w:right w:val="single" w:sz="4" w:space="0" w:color="CCCCCC"/>
            </w:tcBorders>
          </w:tcPr>
          <w:p w14:paraId="6C5C178D" w14:textId="77777777" w:rsidR="001B2769" w:rsidRDefault="00000000">
            <w:r>
              <w:rPr>
                <w:sz w:val="20"/>
                <w:szCs w:val="20"/>
              </w:rPr>
              <w:t>PPTX</w:t>
            </w:r>
          </w:p>
        </w:tc>
        <w:tc>
          <w:tcPr>
            <w:tcW w:w="5660" w:type="dxa"/>
            <w:tcBorders>
              <w:top w:val="single" w:sz="4" w:space="0" w:color="CCCCCC"/>
              <w:left w:val="single" w:sz="4" w:space="0" w:color="CCCCCC"/>
              <w:bottom w:val="single" w:sz="4" w:space="0" w:color="CCCCCC"/>
              <w:right w:val="single" w:sz="4" w:space="0" w:color="CCCCCC"/>
            </w:tcBorders>
          </w:tcPr>
          <w:p w14:paraId="24006EA4" w14:textId="13657569" w:rsidR="001B2769" w:rsidRDefault="00000000">
            <w:r>
              <w:rPr>
                <w:sz w:val="20"/>
                <w:szCs w:val="20"/>
              </w:rPr>
              <w:t xml:space="preserve">Key Intelligence Topics (KITs) are the broad strategic themes the customer wants to track. Key Intelligence Questions (KIQs) are the specific questions within each theme they want answered. This document outlines what </w:t>
            </w:r>
            <w:proofErr w:type="spellStart"/>
            <w:r>
              <w:rPr>
                <w:sz w:val="20"/>
                <w:szCs w:val="20"/>
              </w:rPr>
              <w:t>Orivus</w:t>
            </w:r>
            <w:proofErr w:type="spellEnd"/>
            <w:r>
              <w:rPr>
                <w:sz w:val="20"/>
                <w:szCs w:val="20"/>
              </w:rPr>
              <w:t xml:space="preserve"> leadership cares about.</w:t>
            </w:r>
          </w:p>
        </w:tc>
      </w:tr>
      <w:tr w:rsidR="001B2769" w14:paraId="4965F280"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5F5"/>
          </w:tcPr>
          <w:p w14:paraId="29CC7B72" w14:textId="77777777" w:rsidR="001B2769" w:rsidRDefault="00000000">
            <w:r>
              <w:rPr>
                <w:b/>
                <w:bCs/>
                <w:sz w:val="20"/>
                <w:szCs w:val="20"/>
              </w:rPr>
              <w:t>MSL Meeting Notes</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Pr>
          <w:p w14:paraId="24A89650" w14:textId="77777777" w:rsidR="001B2769" w:rsidRDefault="00000000">
            <w:r>
              <w:rPr>
                <w:sz w:val="20"/>
                <w:szCs w:val="20"/>
              </w:rPr>
              <w:t>XLSX</w:t>
            </w:r>
          </w:p>
        </w:tc>
        <w:tc>
          <w:tcPr>
            <w:tcW w:w="5660" w:type="dxa"/>
            <w:tcBorders>
              <w:top w:val="single" w:sz="4" w:space="0" w:color="CCCCCC"/>
              <w:left w:val="single" w:sz="4" w:space="0" w:color="CCCCCC"/>
              <w:bottom w:val="single" w:sz="4" w:space="0" w:color="CCCCCC"/>
              <w:right w:val="single" w:sz="4" w:space="0" w:color="CCCCCC"/>
            </w:tcBorders>
            <w:shd w:val="clear" w:color="auto" w:fill="F5F5F5"/>
          </w:tcPr>
          <w:p w14:paraId="729B42FE" w14:textId="77777777" w:rsidR="001B2769" w:rsidRDefault="00000000">
            <w:r>
              <w:rPr>
                <w:sz w:val="20"/>
                <w:szCs w:val="20"/>
              </w:rPr>
              <w:t xml:space="preserve">Raw meeting notes from </w:t>
            </w:r>
            <w:proofErr w:type="spellStart"/>
            <w:r>
              <w:rPr>
                <w:sz w:val="20"/>
                <w:szCs w:val="20"/>
              </w:rPr>
              <w:t>Orivus's</w:t>
            </w:r>
            <w:proofErr w:type="spellEnd"/>
            <w:r>
              <w:rPr>
                <w:sz w:val="20"/>
                <w:szCs w:val="20"/>
              </w:rPr>
              <w:t xml:space="preserve"> CRM, capturing MSL interactions with KOLs at ASCO 2025. Includes structured fields (date, KOL name, affiliation, asset discussed) and unstructured notes.</w:t>
            </w:r>
          </w:p>
        </w:tc>
      </w:tr>
      <w:tr w:rsidR="001B2769" w14:paraId="51590C6C" w14:textId="77777777">
        <w:tc>
          <w:tcPr>
            <w:tcW w:w="2500" w:type="dxa"/>
            <w:tcBorders>
              <w:top w:val="single" w:sz="4" w:space="0" w:color="CCCCCC"/>
              <w:left w:val="single" w:sz="4" w:space="0" w:color="CCCCCC"/>
              <w:bottom w:val="single" w:sz="4" w:space="0" w:color="CCCCCC"/>
              <w:right w:val="single" w:sz="4" w:space="0" w:color="CCCCCC"/>
            </w:tcBorders>
          </w:tcPr>
          <w:p w14:paraId="6714E573" w14:textId="77777777" w:rsidR="001B2769" w:rsidRDefault="00000000">
            <w:r>
              <w:rPr>
                <w:b/>
                <w:bCs/>
                <w:sz w:val="20"/>
                <w:szCs w:val="20"/>
              </w:rPr>
              <w:t>ASCO KOL Engagement Notes</w:t>
            </w:r>
          </w:p>
        </w:tc>
        <w:tc>
          <w:tcPr>
            <w:tcW w:w="1200" w:type="dxa"/>
            <w:tcBorders>
              <w:top w:val="single" w:sz="4" w:space="0" w:color="CCCCCC"/>
              <w:left w:val="single" w:sz="4" w:space="0" w:color="CCCCCC"/>
              <w:bottom w:val="single" w:sz="4" w:space="0" w:color="CCCCCC"/>
              <w:right w:val="single" w:sz="4" w:space="0" w:color="CCCCCC"/>
            </w:tcBorders>
          </w:tcPr>
          <w:p w14:paraId="27B35B86" w14:textId="77777777" w:rsidR="001B2769" w:rsidRDefault="00000000">
            <w:r>
              <w:rPr>
                <w:sz w:val="20"/>
                <w:szCs w:val="20"/>
              </w:rPr>
              <w:t>DOCX</w:t>
            </w:r>
          </w:p>
        </w:tc>
        <w:tc>
          <w:tcPr>
            <w:tcW w:w="5660" w:type="dxa"/>
            <w:tcBorders>
              <w:top w:val="single" w:sz="4" w:space="0" w:color="CCCCCC"/>
              <w:left w:val="single" w:sz="4" w:space="0" w:color="CCCCCC"/>
              <w:bottom w:val="single" w:sz="4" w:space="0" w:color="CCCCCC"/>
              <w:right w:val="single" w:sz="4" w:space="0" w:color="CCCCCC"/>
            </w:tcBorders>
          </w:tcPr>
          <w:p w14:paraId="26CAE8FD" w14:textId="77777777" w:rsidR="001B2769" w:rsidRDefault="00000000">
            <w:r>
              <w:rPr>
                <w:sz w:val="20"/>
                <w:szCs w:val="20"/>
              </w:rPr>
              <w:t>A compiled document of qualitative observations from MSL-KOL conversations during ASCO. Less structured than the CRM export - more narrative and contextual.</w:t>
            </w:r>
          </w:p>
        </w:tc>
      </w:tr>
      <w:tr w:rsidR="001B2769" w14:paraId="7168B8C4"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5F5"/>
          </w:tcPr>
          <w:p w14:paraId="603E7542" w14:textId="77777777" w:rsidR="001B2769" w:rsidRDefault="00000000">
            <w:r>
              <w:rPr>
                <w:b/>
                <w:bCs/>
                <w:sz w:val="20"/>
                <w:szCs w:val="20"/>
              </w:rPr>
              <w:t>Education Session Deck</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Pr>
          <w:p w14:paraId="57253FA4" w14:textId="77777777" w:rsidR="001B2769" w:rsidRDefault="00000000">
            <w:r>
              <w:rPr>
                <w:sz w:val="20"/>
                <w:szCs w:val="20"/>
              </w:rPr>
              <w:t>PPTX</w:t>
            </w:r>
          </w:p>
        </w:tc>
        <w:tc>
          <w:tcPr>
            <w:tcW w:w="5660" w:type="dxa"/>
            <w:tcBorders>
              <w:top w:val="single" w:sz="4" w:space="0" w:color="CCCCCC"/>
              <w:left w:val="single" w:sz="4" w:space="0" w:color="CCCCCC"/>
              <w:bottom w:val="single" w:sz="4" w:space="0" w:color="CCCCCC"/>
              <w:right w:val="single" w:sz="4" w:space="0" w:color="CCCCCC"/>
            </w:tcBorders>
            <w:shd w:val="clear" w:color="auto" w:fill="F5F5F5"/>
          </w:tcPr>
          <w:p w14:paraId="4B07482D" w14:textId="77777777" w:rsidR="001B2769" w:rsidRDefault="00000000">
            <w:r>
              <w:rPr>
                <w:sz w:val="20"/>
                <w:szCs w:val="20"/>
              </w:rPr>
              <w:t xml:space="preserve">An internal deck summarizing a lecture at ASCO where </w:t>
            </w:r>
            <w:proofErr w:type="spellStart"/>
            <w:r>
              <w:rPr>
                <w:sz w:val="20"/>
                <w:szCs w:val="20"/>
              </w:rPr>
              <w:t>Orivus</w:t>
            </w:r>
            <w:proofErr w:type="spellEnd"/>
            <w:r>
              <w:rPr>
                <w:sz w:val="20"/>
                <w:szCs w:val="20"/>
              </w:rPr>
              <w:t xml:space="preserve"> presented recent clinical data. Contains detailed </w:t>
            </w:r>
            <w:r>
              <w:rPr>
                <w:sz w:val="20"/>
                <w:szCs w:val="20"/>
              </w:rPr>
              <w:lastRenderedPageBreak/>
              <w:t>content but is formatted for internal circulation (dense, not executive-ready).</w:t>
            </w:r>
          </w:p>
        </w:tc>
      </w:tr>
      <w:tr w:rsidR="00184B22" w14:paraId="2C3F3CF9"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5F5"/>
          </w:tcPr>
          <w:p w14:paraId="660195CB" w14:textId="0550BDF3" w:rsidR="00184B22" w:rsidRDefault="00184B22">
            <w:pPr>
              <w:rPr>
                <w:b/>
                <w:bCs/>
                <w:sz w:val="20"/>
                <w:szCs w:val="20"/>
              </w:rPr>
            </w:pPr>
            <w:r>
              <w:rPr>
                <w:b/>
                <w:bCs/>
                <w:sz w:val="20"/>
                <w:szCs w:val="20"/>
              </w:rPr>
              <w:lastRenderedPageBreak/>
              <w:t>Example Legacy Report</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Pr>
          <w:p w14:paraId="65DC7DA9" w14:textId="5C00F66B" w:rsidR="00184B22" w:rsidRDefault="00184B22">
            <w:pPr>
              <w:rPr>
                <w:sz w:val="20"/>
                <w:szCs w:val="20"/>
              </w:rPr>
            </w:pPr>
            <w:r>
              <w:rPr>
                <w:sz w:val="20"/>
                <w:szCs w:val="20"/>
              </w:rPr>
              <w:t>PPTX</w:t>
            </w:r>
          </w:p>
        </w:tc>
        <w:tc>
          <w:tcPr>
            <w:tcW w:w="5660" w:type="dxa"/>
            <w:tcBorders>
              <w:top w:val="single" w:sz="4" w:space="0" w:color="CCCCCC"/>
              <w:left w:val="single" w:sz="4" w:space="0" w:color="CCCCCC"/>
              <w:bottom w:val="single" w:sz="4" w:space="0" w:color="CCCCCC"/>
              <w:right w:val="single" w:sz="4" w:space="0" w:color="CCCCCC"/>
            </w:tcBorders>
            <w:shd w:val="clear" w:color="auto" w:fill="F5F5F5"/>
          </w:tcPr>
          <w:p w14:paraId="56CDB255" w14:textId="746E018A" w:rsidR="00184B22" w:rsidRDefault="00D21504">
            <w:pPr>
              <w:rPr>
                <w:sz w:val="20"/>
                <w:szCs w:val="20"/>
              </w:rPr>
            </w:pPr>
            <w:r>
              <w:rPr>
                <w:sz w:val="20"/>
                <w:szCs w:val="20"/>
              </w:rPr>
              <w:t>Our stakeholder Lisa sent this over. She said it’s an e</w:t>
            </w:r>
            <w:r w:rsidR="00184B22">
              <w:rPr>
                <w:sz w:val="20"/>
                <w:szCs w:val="20"/>
              </w:rPr>
              <w:t>xample report that an agency created</w:t>
            </w:r>
            <w:r>
              <w:rPr>
                <w:sz w:val="20"/>
                <w:szCs w:val="20"/>
              </w:rPr>
              <w:t xml:space="preserve"> with the same data.</w:t>
            </w:r>
            <w:r w:rsidR="00184B22">
              <w:rPr>
                <w:sz w:val="20"/>
                <w:szCs w:val="20"/>
              </w:rPr>
              <w:t xml:space="preserve"> </w:t>
            </w:r>
            <w:r w:rsidR="003D74D2">
              <w:rPr>
                <w:sz w:val="20"/>
                <w:szCs w:val="20"/>
              </w:rPr>
              <w:t xml:space="preserve">This is the minimum bar we must exceed. </w:t>
            </w:r>
          </w:p>
        </w:tc>
      </w:tr>
    </w:tbl>
    <w:p w14:paraId="59852FE9" w14:textId="77777777" w:rsidR="001B2769" w:rsidRDefault="00000000">
      <w:pPr>
        <w:pStyle w:val="Heading1"/>
      </w:pPr>
      <w:r>
        <w:t>Your Task</w:t>
      </w:r>
    </w:p>
    <w:p w14:paraId="5D455876" w14:textId="11A1BB88" w:rsidR="003E47E9" w:rsidRDefault="00000000">
      <w:pPr>
        <w:spacing w:after="200"/>
      </w:pPr>
      <w:r>
        <w:t xml:space="preserve">Using the materials provided, create a </w:t>
      </w:r>
      <w:r w:rsidR="00184B22">
        <w:t xml:space="preserve">workflow that ingests data insights, and produces the end report in one click. Using AI to complete the take-home is not only </w:t>
      </w:r>
      <w:proofErr w:type="gramStart"/>
      <w:r w:rsidR="00184B22">
        <w:t>allowed, but</w:t>
      </w:r>
      <w:proofErr w:type="gramEnd"/>
      <w:r w:rsidR="00184B22">
        <w:t xml:space="preserve"> expected. </w:t>
      </w:r>
      <w:r w:rsidR="00EF3150">
        <w:t xml:space="preserve">Do not spend more than </w:t>
      </w:r>
      <w:r w:rsidR="004E6EB0">
        <w:t>~five</w:t>
      </w:r>
      <w:r w:rsidR="00EF3150">
        <w:t xml:space="preserve"> hours on this case</w:t>
      </w:r>
      <w:r w:rsidR="00F52EDC">
        <w:t xml:space="preserve">. </w:t>
      </w:r>
      <w:r w:rsidR="003E47E9">
        <w:t>Our goal is to understand how you thin</w:t>
      </w:r>
      <w:r w:rsidR="00EF3150">
        <w:t xml:space="preserve">k. </w:t>
      </w:r>
      <w:r w:rsidR="00F52EDC">
        <w:t xml:space="preserve"> </w:t>
      </w:r>
    </w:p>
    <w:p w14:paraId="446E5856" w14:textId="77777777" w:rsidR="001B2769" w:rsidRDefault="00000000">
      <w:pPr>
        <w:pStyle w:val="Heading2"/>
      </w:pPr>
      <w:r>
        <w:t>Deliverables</w:t>
      </w:r>
    </w:p>
    <w:p w14:paraId="583FA63F" w14:textId="77777777" w:rsidR="001B2769" w:rsidRDefault="001B2769">
      <w:pPr>
        <w:spacing w:after="200"/>
        <w:ind w:left="360"/>
      </w:pPr>
    </w:p>
    <w:p w14:paraId="1CD991E9" w14:textId="77777777" w:rsidR="001B2769" w:rsidRDefault="00000000">
      <w:pPr>
        <w:pStyle w:val="Heading3"/>
      </w:pPr>
      <w:r>
        <w:t>1. Assumptions &amp; Open Questions (~1 page)</w:t>
      </w:r>
    </w:p>
    <w:p w14:paraId="61BF5502" w14:textId="21E2A9D2" w:rsidR="001B2769" w:rsidRDefault="00000000" w:rsidP="00AC120D">
      <w:pPr>
        <w:pStyle w:val="ListParagraph"/>
        <w:numPr>
          <w:ilvl w:val="0"/>
          <w:numId w:val="1"/>
        </w:numPr>
        <w:spacing w:after="80"/>
      </w:pPr>
      <w:r>
        <w:t>What data issues did you encounter?</w:t>
      </w:r>
      <w:r w:rsidR="00AC120D">
        <w:t xml:space="preserve"> How might you</w:t>
      </w:r>
      <w:r w:rsidR="00184B22">
        <w:t xml:space="preserve"> solve these gaps, with AI or otherwise? Any limitations? </w:t>
      </w:r>
    </w:p>
    <w:p w14:paraId="042D24DE" w14:textId="77777777" w:rsidR="001B2769" w:rsidRDefault="00000000" w:rsidP="00AC120D">
      <w:pPr>
        <w:pStyle w:val="ListParagraph"/>
        <w:numPr>
          <w:ilvl w:val="0"/>
          <w:numId w:val="1"/>
        </w:numPr>
        <w:spacing w:after="80"/>
      </w:pPr>
      <w:r>
        <w:t>What assumptions did you make to move forward?</w:t>
      </w:r>
    </w:p>
    <w:p w14:paraId="52EC04C8" w14:textId="6297B031" w:rsidR="001B2769" w:rsidRDefault="00184B22" w:rsidP="00AC120D">
      <w:pPr>
        <w:pStyle w:val="ListParagraph"/>
        <w:numPr>
          <w:ilvl w:val="0"/>
          <w:numId w:val="1"/>
        </w:numPr>
        <w:spacing w:after="200"/>
      </w:pPr>
      <w:r>
        <w:t xml:space="preserve">How would you respond to Lisa </w:t>
      </w:r>
      <w:proofErr w:type="gramStart"/>
      <w:r>
        <w:t>in order to</w:t>
      </w:r>
      <w:proofErr w:type="gramEnd"/>
      <w:r>
        <w:t xml:space="preserve"> improve future reporting? </w:t>
      </w:r>
    </w:p>
    <w:p w14:paraId="438045F9" w14:textId="2C4B3471" w:rsidR="001B2769" w:rsidRDefault="00000000">
      <w:pPr>
        <w:pStyle w:val="Heading3"/>
      </w:pPr>
      <w:r>
        <w:t>2. Client-Ready Insights Deck (</w:t>
      </w:r>
      <w:r w:rsidR="003E47E9">
        <w:t>3-6</w:t>
      </w:r>
      <w:r>
        <w:t xml:space="preserve"> slides)</w:t>
      </w:r>
    </w:p>
    <w:p w14:paraId="2B0928B7" w14:textId="77777777" w:rsidR="001B2769" w:rsidRDefault="00000000" w:rsidP="00AC120D">
      <w:pPr>
        <w:pStyle w:val="ListParagraph"/>
        <w:numPr>
          <w:ilvl w:val="0"/>
          <w:numId w:val="2"/>
        </w:numPr>
        <w:spacing w:after="80"/>
      </w:pPr>
      <w:r>
        <w:t>Target audience: VP/Director-level Medical Affairs leadership</w:t>
      </w:r>
    </w:p>
    <w:p w14:paraId="196BC45B" w14:textId="7DBF5019" w:rsidR="001B2769" w:rsidRDefault="00000000" w:rsidP="00AC120D">
      <w:pPr>
        <w:pStyle w:val="ListParagraph"/>
        <w:numPr>
          <w:ilvl w:val="0"/>
          <w:numId w:val="2"/>
        </w:numPr>
        <w:spacing w:after="80"/>
      </w:pPr>
      <w:r>
        <w:t xml:space="preserve">Focus on insights tied to their </w:t>
      </w:r>
      <w:r w:rsidR="00EF6DAF">
        <w:t>priorities</w:t>
      </w:r>
      <w:r>
        <w:t>, not data summaries</w:t>
      </w:r>
      <w:r w:rsidR="00184B22">
        <w:t>.</w:t>
      </w:r>
      <w:r w:rsidR="00536623">
        <w:t xml:space="preserve"> The goal is to reduce the amount of work and thinking they need to do once the report lands in their inbox.</w:t>
      </w:r>
    </w:p>
    <w:p w14:paraId="4D0549A5" w14:textId="77777777" w:rsidR="00536623" w:rsidRDefault="00536623" w:rsidP="00536623">
      <w:pPr>
        <w:pStyle w:val="Heading3"/>
      </w:pPr>
      <w:r>
        <w:t>3. “One-Click” Process Outline</w:t>
      </w:r>
    </w:p>
    <w:p w14:paraId="1D604A02" w14:textId="21FF54BE" w:rsidR="00536623" w:rsidRDefault="00536623" w:rsidP="00536623">
      <w:pPr>
        <w:pStyle w:val="ListParagraph"/>
        <w:numPr>
          <w:ilvl w:val="0"/>
          <w:numId w:val="2"/>
        </w:numPr>
        <w:spacing w:after="80"/>
      </w:pPr>
      <w:r>
        <w:t xml:space="preserve">Describe how you </w:t>
      </w:r>
      <w:r w:rsidR="004E6EB0">
        <w:t>w</w:t>
      </w:r>
      <w:r>
        <w:t xml:space="preserve">ould use AI to transform this complex, multi-step process into an agentic workflow that transforms the input data sources into a final report in one click. What steps are involved? What prompts might you use? What should you keep in mind? </w:t>
      </w:r>
    </w:p>
    <w:p w14:paraId="5658A2A9" w14:textId="77777777" w:rsidR="001B2769" w:rsidRDefault="001B2769" w:rsidP="00536623">
      <w:pPr>
        <w:spacing w:after="80"/>
      </w:pPr>
    </w:p>
    <w:p w14:paraId="216511CD" w14:textId="77777777" w:rsidR="001B2769" w:rsidRDefault="001B2769">
      <w:pPr>
        <w:spacing w:after="8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B2769" w14:paraId="730AD990"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E8"/>
          </w:tcPr>
          <w:p w14:paraId="3D68A83C" w14:textId="38B7B767" w:rsidR="001B2769" w:rsidRPr="00536623" w:rsidRDefault="00000000">
            <w:pPr>
              <w:spacing w:before="200" w:after="200"/>
              <w:jc w:val="center"/>
            </w:pPr>
            <w:r w:rsidRPr="00536623">
              <w:rPr>
                <w:b/>
                <w:bCs/>
                <w:sz w:val="24"/>
                <w:szCs w:val="24"/>
              </w:rPr>
              <w:t xml:space="preserve">Good luck. We're excited to </w:t>
            </w:r>
            <w:r w:rsidR="00536623">
              <w:rPr>
                <w:b/>
                <w:bCs/>
                <w:sz w:val="24"/>
                <w:szCs w:val="24"/>
              </w:rPr>
              <w:t>explore</w:t>
            </w:r>
            <w:r w:rsidRPr="00536623">
              <w:rPr>
                <w:b/>
                <w:bCs/>
                <w:sz w:val="24"/>
                <w:szCs w:val="24"/>
              </w:rPr>
              <w:t xml:space="preserve"> how you think.</w:t>
            </w:r>
          </w:p>
        </w:tc>
      </w:tr>
    </w:tbl>
    <w:p w14:paraId="02496C5E" w14:textId="77777777" w:rsidR="001B2769" w:rsidRDefault="001B2769">
      <w:pPr>
        <w:widowControl w:val="0"/>
        <w:pBdr>
          <w:top w:val="nil"/>
          <w:left w:val="nil"/>
          <w:bottom w:val="nil"/>
          <w:right w:val="nil"/>
          <w:between w:val="nil"/>
        </w:pBdr>
        <w:spacing w:line="276" w:lineRule="auto"/>
      </w:pPr>
    </w:p>
    <w:sectPr w:rsidR="001B2769">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B41DF" w14:textId="77777777" w:rsidR="006E2948" w:rsidRDefault="006E2948">
      <w:r>
        <w:separator/>
      </w:r>
    </w:p>
  </w:endnote>
  <w:endnote w:type="continuationSeparator" w:id="0">
    <w:p w14:paraId="480C21F5" w14:textId="77777777" w:rsidR="006E2948" w:rsidRDefault="006E2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950C61D-6853-834C-97FB-8B31E55D5C8D}"/>
  </w:font>
  <w:font w:name="Times New Roman">
    <w:panose1 w:val="02020603050405020304"/>
    <w:charset w:val="00"/>
    <w:family w:val="roman"/>
    <w:pitch w:val="variable"/>
    <w:sig w:usb0="E0002EFF" w:usb1="C000785B" w:usb2="00000009" w:usb3="00000000" w:csb0="000001FF" w:csb1="00000000"/>
    <w:embedRegular r:id="rId2" w:fontKey="{1E81BFC8-9E75-D840-BF4C-0C43487A8CB1}"/>
  </w:font>
  <w:font w:name="Courier New">
    <w:panose1 w:val="02070309020205020404"/>
    <w:charset w:val="00"/>
    <w:family w:val="modern"/>
    <w:pitch w:val="fixed"/>
    <w:sig w:usb0="E0002AFF" w:usb1="C0007843" w:usb2="00000009" w:usb3="00000000" w:csb0="000001FF" w:csb1="00000000"/>
    <w:embedRegular r:id="rId3" w:fontKey="{DD164EB2-7B59-8A42-9B56-56035BC5EB98}"/>
  </w:font>
  <w:font w:name="Wingdings">
    <w:panose1 w:val="05000000000000000000"/>
    <w:charset w:val="4D"/>
    <w:family w:val="decorative"/>
    <w:pitch w:val="variable"/>
    <w:sig w:usb0="00000003" w:usb1="00000000" w:usb2="00000000" w:usb3="00000000" w:csb0="80000001" w:csb1="00000000"/>
    <w:embedRegular r:id="rId4" w:fontKey="{CE75B257-C47B-4541-9CE9-1DB18F7B2172}"/>
  </w:font>
  <w:font w:name="Arial">
    <w:panose1 w:val="020B0604020202020204"/>
    <w:charset w:val="00"/>
    <w:family w:val="swiss"/>
    <w:pitch w:val="variable"/>
    <w:sig w:usb0="E0002AFF" w:usb1="C0007843" w:usb2="00000009" w:usb3="00000000" w:csb0="000001FF" w:csb1="00000000"/>
    <w:embedRegular r:id="rId5" w:fontKey="{FF45B9F3-C19A-3B48-91B3-00F5E13936B5}"/>
    <w:embedBold r:id="rId6" w:fontKey="{596B4CBD-1A73-A448-9D29-7F913F611F6D}"/>
    <w:embedItalic r:id="rId7" w:fontKey="{CEF407B1-C3F4-1740-A08E-78615CE5D923}"/>
    <w:embedBoldItalic r:id="rId8" w:fontKey="{F031FC51-64E2-7F40-9452-1F6274286863}"/>
  </w:font>
  <w:font w:name="Georgia">
    <w:panose1 w:val="02040502050405020303"/>
    <w:charset w:val="00"/>
    <w:family w:val="roman"/>
    <w:pitch w:val="variable"/>
    <w:sig w:usb0="00000287" w:usb1="00000000" w:usb2="00000000" w:usb3="00000000" w:csb0="0000009F" w:csb1="00000000"/>
    <w:embedItalic r:id="rId9" w:fontKey="{AB55E173-1D42-5A45-9AD6-F211FB5426AE}"/>
  </w:font>
  <w:font w:name="Calibri">
    <w:panose1 w:val="020F0502020204030204"/>
    <w:charset w:val="00"/>
    <w:family w:val="swiss"/>
    <w:pitch w:val="variable"/>
    <w:sig w:usb0="E1002AFF" w:usb1="C000ACFF" w:usb2="00000009" w:usb3="00000000" w:csb0="000001FF" w:csb1="00000000"/>
    <w:embedRegular r:id="rId10" w:fontKey="{62C37B01-3F31-A344-929F-BDC6F1570D1E}"/>
  </w:font>
  <w:font w:name="Cambria">
    <w:panose1 w:val="02040503050406030204"/>
    <w:charset w:val="00"/>
    <w:family w:val="roman"/>
    <w:pitch w:val="variable"/>
    <w:sig w:usb0="E00002FF" w:usb1="400004FF" w:usb2="00000000" w:usb3="00000000" w:csb0="0000019F" w:csb1="00000000"/>
    <w:embedRegular r:id="rId11" w:fontKey="{64D86FC4-7255-8B41-807A-463282915F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29A67" w14:textId="77777777" w:rsidR="001B2769"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C120D">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AC120D">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CA9B3" w14:textId="77777777" w:rsidR="006E2948" w:rsidRDefault="006E2948">
      <w:r>
        <w:separator/>
      </w:r>
    </w:p>
  </w:footnote>
  <w:footnote w:type="continuationSeparator" w:id="0">
    <w:p w14:paraId="22F5F9F1" w14:textId="77777777" w:rsidR="006E2948" w:rsidRDefault="006E29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6E1E" w14:textId="77777777" w:rsidR="001B2769" w:rsidRDefault="00000000">
    <w:pPr>
      <w:jc w:val="right"/>
    </w:pPr>
    <w:r>
      <w:rPr>
        <w:i/>
        <w:iCs/>
        <w:color w:val="666666"/>
        <w:sz w:val="20"/>
        <w:szCs w:val="20"/>
      </w:rPr>
      <w:t>MBA Intern Take-Home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B6D4A"/>
    <w:multiLevelType w:val="hybridMultilevel"/>
    <w:tmpl w:val="2292B3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7C40D75"/>
    <w:multiLevelType w:val="hybridMultilevel"/>
    <w:tmpl w:val="F2E037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9344906">
    <w:abstractNumId w:val="1"/>
  </w:num>
  <w:num w:numId="2" w16cid:durableId="180199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769"/>
    <w:rsid w:val="00184B22"/>
    <w:rsid w:val="001A0CF8"/>
    <w:rsid w:val="001B2769"/>
    <w:rsid w:val="00202DD5"/>
    <w:rsid w:val="003D74D2"/>
    <w:rsid w:val="003E47E9"/>
    <w:rsid w:val="00472136"/>
    <w:rsid w:val="00493B8D"/>
    <w:rsid w:val="004E6EB0"/>
    <w:rsid w:val="00536623"/>
    <w:rsid w:val="006E2948"/>
    <w:rsid w:val="006F4350"/>
    <w:rsid w:val="00A21BCD"/>
    <w:rsid w:val="00AC120D"/>
    <w:rsid w:val="00B071DC"/>
    <w:rsid w:val="00D21504"/>
    <w:rsid w:val="00EF3150"/>
    <w:rsid w:val="00EF6DAF"/>
    <w:rsid w:val="00F52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053F12"/>
  <w15:docId w15:val="{844709AF-2026-F14D-8CD1-E8F072A3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A3A52"/>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80" w:after="100"/>
      <w:outlineLvl w:val="1"/>
    </w:pPr>
    <w:rPr>
      <w:b/>
      <w:bCs/>
      <w:color w:val="2D5A7B"/>
      <w:sz w:val="24"/>
      <w:szCs w:val="24"/>
    </w:rPr>
  </w:style>
  <w:style w:type="paragraph" w:styleId="Heading3">
    <w:name w:val="heading 3"/>
    <w:basedOn w:val="Normal"/>
    <w:next w:val="Normal"/>
    <w:uiPriority w:val="9"/>
    <w:unhideWhenUsed/>
    <w:qFormat/>
    <w:pPr>
      <w:pBdr>
        <w:top w:val="nil"/>
        <w:left w:val="nil"/>
        <w:bottom w:val="nil"/>
        <w:right w:val="nil"/>
        <w:between w:val="nil"/>
      </w:pBdr>
      <w:spacing w:before="240" w:after="80"/>
      <w:outlineLvl w:val="2"/>
    </w:pPr>
    <w:rPr>
      <w:b/>
      <w:bCs/>
      <w:color w:val="3D6A8B"/>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200"/>
    </w:pPr>
    <w:rPr>
      <w:b/>
      <w:bCs/>
      <w:color w:val="1A3A52"/>
      <w:sz w:val="48"/>
      <w:szCs w:val="48"/>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hTg8lhFRuXNYx+5MO7/hfYFt4w==">CgMxLjA4AHIhMUtESGdyeEROYXlscG83cGdjVG4zWmY4RHE3WnQyUmUy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955</Words>
  <Characters>5397</Characters>
  <Application>Microsoft Office Word</Application>
  <DocSecurity>0</DocSecurity>
  <Lines>128</Lines>
  <Paragraphs>77</Paragraphs>
  <ScaleCrop>false</ScaleCrop>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Hannah Frankl</cp:lastModifiedBy>
  <cp:revision>11</cp:revision>
  <dcterms:created xsi:type="dcterms:W3CDTF">2026-04-24T22:54:00Z</dcterms:created>
  <dcterms:modified xsi:type="dcterms:W3CDTF">2026-05-01T14:53:00Z</dcterms:modified>
</cp:coreProperties>
</file>