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3ACA" w14:textId="77777777" w:rsidR="00EE0236" w:rsidRDefault="00C607ED">
      <w:pPr>
        <w:jc w:val="center"/>
      </w:pPr>
      <w:r>
        <w:rPr>
          <w:b/>
          <w:sz w:val="32"/>
        </w:rPr>
        <w:t>Diagnóstico: las cinco fuerzas de Porter</w:t>
      </w:r>
    </w:p>
    <w:p w14:paraId="40D8409C" w14:textId="77777777" w:rsidR="00EE0236" w:rsidRDefault="00C607ED">
      <w:pPr>
        <w:jc w:val="center"/>
      </w:pPr>
      <w:r>
        <w:t>INFIVALLE</w:t>
      </w:r>
    </w:p>
    <w:p w14:paraId="433382D4" w14:textId="77777777" w:rsidR="00EE0236" w:rsidRDefault="00C607ED">
      <w:pPr>
        <w:jc w:val="center"/>
      </w:pPr>
      <w:r>
        <w:t>Presentado por: Erick Salomón Urbano Martínez, Kevin Cardoso, Juan David Ledesma, Santiago Mejía, Juan Manuel Fernández, Juan Camilo Ibarra</w:t>
      </w:r>
    </w:p>
    <w:p w14:paraId="2A2ED6E8" w14:textId="77777777" w:rsidR="00EE0236" w:rsidRDefault="00C607ED">
      <w:pPr>
        <w:jc w:val="center"/>
      </w:pPr>
      <w:r>
        <w:t>Asignatura: Gobierno y servicios de TI</w:t>
      </w:r>
    </w:p>
    <w:p w14:paraId="61F75E97" w14:textId="77777777" w:rsidR="00EE0236" w:rsidRDefault="00C607ED">
      <w:pPr>
        <w:jc w:val="center"/>
      </w:pPr>
      <w:r>
        <w:t>Programa: Ingeniería en Sistemas</w:t>
      </w:r>
    </w:p>
    <w:p w14:paraId="69F4BEAA" w14:textId="77777777" w:rsidR="00EE0236" w:rsidRDefault="00C607ED">
      <w:pPr>
        <w:jc w:val="center"/>
      </w:pPr>
      <w:r>
        <w:t>Profesor: Jair Sanclemente</w:t>
      </w:r>
    </w:p>
    <w:p w14:paraId="6D436A9A" w14:textId="77777777" w:rsidR="00EE0236" w:rsidRDefault="00C607ED">
      <w:pPr>
        <w:jc w:val="center"/>
      </w:pPr>
      <w:r>
        <w:t>Universidad: Universidad Santiago de Cali</w:t>
      </w:r>
    </w:p>
    <w:p w14:paraId="4E5D96E5" w14:textId="77777777" w:rsidR="00EE0236" w:rsidRDefault="00C607ED">
      <w:pPr>
        <w:jc w:val="center"/>
      </w:pPr>
      <w:r>
        <w:t>Fecha: 25/03/2026</w:t>
      </w:r>
    </w:p>
    <w:p w14:paraId="7772C041" w14:textId="77777777" w:rsidR="00EE0236" w:rsidRDefault="00EE0236"/>
    <w:p w14:paraId="0846817E" w14:textId="77777777" w:rsidR="00EE0236" w:rsidRDefault="00C607ED">
      <w:pPr>
        <w:pStyle w:val="Ttulo2"/>
      </w:pPr>
      <w:r>
        <w:t>Nota metodológica</w:t>
      </w:r>
    </w:p>
    <w:p w14:paraId="13E26643" w14:textId="77777777" w:rsidR="00EE0236" w:rsidRDefault="00C607ED">
      <w:r>
        <w:t>Los porcentajes y plazos usados como orden de magnitud en priorización y metas (por ejemplo, mejoras del 30–40 % en costos o ventanas de 12–18 meses) se entienden como estimaciones de trabajo para el debate estratégico, salvo que la entidad disponga de mediciones auditadas que los reemplacen.</w:t>
      </w:r>
    </w:p>
    <w:p w14:paraId="6F79E79D" w14:textId="77777777" w:rsidR="00EE0236" w:rsidRDefault="00C607ED">
      <w:pPr>
        <w:pStyle w:val="Ttulo2"/>
      </w:pPr>
      <w:r>
        <w:t>Figuras de referencia — modelo Porter</w:t>
      </w:r>
    </w:p>
    <w:p w14:paraId="32B7529E" w14:textId="77777777" w:rsidR="00EE0236" w:rsidRDefault="00C607ED">
      <w:r>
        <w:t>Las figuras 1 y 2 resumen el marco teórico y la intensidad cualitativa utilizada en este diagnóstico; la argumentación detallada por fuerza se desarrolla en la sección 2.</w:t>
      </w:r>
    </w:p>
    <w:p w14:paraId="3DE9567C" w14:textId="77777777" w:rsidR="00EE0236" w:rsidRDefault="00C607ED">
      <w:r>
        <w:rPr>
          <w:noProof/>
        </w:rPr>
        <w:drawing>
          <wp:inline distT="0" distB="0" distL="0" distR="0" wp14:anchorId="33A63D5D" wp14:editId="0B8CEA29">
            <wp:extent cx="5349240" cy="5848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er_model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8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99C8" w14:textId="77777777" w:rsidR="00EE0236" w:rsidRDefault="00C607ED">
      <w:pPr>
        <w:jc w:val="center"/>
      </w:pPr>
      <w:r>
        <w:rPr>
          <w:i/>
          <w:sz w:val="18"/>
        </w:rPr>
        <w:t>Figura 1. Esquema de las cinco fuerzas de Porter.</w:t>
      </w:r>
    </w:p>
    <w:p w14:paraId="27C3531E" w14:textId="77777777" w:rsidR="00EE0236" w:rsidRDefault="00C607ED">
      <w:r>
        <w:rPr>
          <w:noProof/>
        </w:rPr>
        <w:drawing>
          <wp:inline distT="0" distB="0" distL="0" distR="0" wp14:anchorId="37FFE469" wp14:editId="6EEA6EDA">
            <wp:extent cx="5806440" cy="27956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er_intensid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7FD" w14:textId="77777777" w:rsidR="00EE0236" w:rsidRDefault="00C607ED">
      <w:pPr>
        <w:jc w:val="center"/>
      </w:pPr>
      <w:r>
        <w:rPr>
          <w:i/>
          <w:sz w:val="18"/>
        </w:rPr>
        <w:t>Figura 2. Intensidad estimada por fuerza — Infivalle (alineada con la sección 2).</w:t>
      </w:r>
    </w:p>
    <w:p w14:paraId="599A1054" w14:textId="77777777" w:rsidR="00EE0236" w:rsidRDefault="00C607ED">
      <w:pPr>
        <w:pStyle w:val="Ttulo2"/>
      </w:pPr>
      <w:r>
        <w:t>1. Visión integral</w:t>
      </w:r>
    </w:p>
    <w:p w14:paraId="067141EF" w14:textId="77777777" w:rsidR="00EE0236" w:rsidRDefault="00C607ED">
      <w:r>
        <w:t>Infivalle actúa en un entorno donde la confianza institucional sigue siendo importante, pero los usuarios comparan la experiencia con la de banca digital, fintech y otros actores ágiles. Eso sube la presión competitiva y acorta los plazos tolerables en servicios y canales digitales.</w:t>
      </w:r>
    </w:p>
    <w:p w14:paraId="41FB1204" w14:textId="77777777" w:rsidR="00EE0236" w:rsidRDefault="00C607ED">
      <w:r>
        <w:t>Visto con el modelo de Porter, la presión no viene de una sola dirección: conviven rivalidad fuerte, entrada de actores nuevos con modelos digitales livianos, sustitutos que cambian la forma de acceder a servicios financieros, clientes institucionales (municipios y entidades públicas) cada vez más exigentes con trazabilidad y tiempos, y proveedores tecnológicos con poder de negociación alto cuando hay dependencia de plataformas o integraciones complejas.</w:t>
      </w:r>
    </w:p>
    <w:p w14:paraId="57EEF307" w14:textId="77777777" w:rsidR="00EE0236" w:rsidRDefault="00C607ED">
      <w:r>
        <w:t>En conjunto, el marco sirve para ordenar dónde duele hoy y qué decisiones de gobierno y de TI tienen más palanca, sin confundir el diagnóstico con una predicción automática del futuro.</w:t>
      </w:r>
    </w:p>
    <w:p w14:paraId="04EE29A4" w14:textId="77777777" w:rsidR="00EE0236" w:rsidRDefault="00C607ED">
      <w:pPr>
        <w:pStyle w:val="Ttulo2"/>
      </w:pPr>
      <w:r>
        <w:t>2. Análisis por fuerza (Porter)</w:t>
      </w:r>
    </w:p>
    <w:p w14:paraId="3FC020BD" w14:textId="77777777" w:rsidR="00EE0236" w:rsidRDefault="00C607ED">
      <w:pPr>
        <w:pStyle w:val="Ttulo3"/>
      </w:pPr>
      <w:r>
        <w:t>2.1 Rivalidad entre competidores existentes</w:t>
      </w:r>
    </w:p>
    <w:p w14:paraId="48B4DA49" w14:textId="77777777" w:rsidR="00EE0236" w:rsidRDefault="00C607ED">
      <w:r>
        <w:t>Intensidad: alta.</w:t>
      </w:r>
    </w:p>
    <w:p w14:paraId="5D270460" w14:textId="77777777" w:rsidR="00EE0236" w:rsidRDefault="00C607ED">
      <w:pPr>
        <w:pStyle w:val="Listaconvietas"/>
      </w:pPr>
      <w:r>
        <w:t>Competidores tradicionales y digitales compiten por la misma atención del usuario y por estándares de autoservicio, tiempos de respuesta y transparencia.</w:t>
      </w:r>
    </w:p>
    <w:p w14:paraId="3CDFB942" w14:textId="77777777" w:rsidR="00EE0236" w:rsidRDefault="00C607ED">
      <w:pPr>
        <w:pStyle w:val="Listaconvietas"/>
      </w:pPr>
      <w:r>
        <w:t>En el segmento público y de fomento, la comparación indirecta con banca y fintech eleva la expectativa aun cuando el mandato de Infivalle sea distinto.</w:t>
      </w:r>
    </w:p>
    <w:p w14:paraId="6DD2DF68" w14:textId="77777777" w:rsidR="00EE0236" w:rsidRDefault="00C607ED">
      <w:pPr>
        <w:pStyle w:val="Listaconvietas"/>
      </w:pPr>
      <w:r>
        <w:t>Una base tecnológica rezagada hace más costoso mantener la percepción de modernidad y eficiencia.</w:t>
      </w:r>
    </w:p>
    <w:p w14:paraId="4DD18F18" w14:textId="77777777" w:rsidR="00EE0236" w:rsidRDefault="00C607ED">
      <w:pPr>
        <w:pStyle w:val="Ttulo3"/>
      </w:pPr>
      <w:r>
        <w:t>2.2 Amenaza de nuevos entrantes</w:t>
      </w:r>
    </w:p>
    <w:p w14:paraId="7B6B5E5D" w14:textId="77777777" w:rsidR="00EE0236" w:rsidRDefault="00C607ED">
      <w:r>
        <w:t>Intensidad: alta (en canales y experiencia digital).</w:t>
      </w:r>
    </w:p>
    <w:p w14:paraId="610FFD09" w14:textId="77777777" w:rsidR="00EE0236" w:rsidRDefault="00C607ED">
      <w:pPr>
        <w:pStyle w:val="Listaconvietas"/>
      </w:pPr>
      <w:r>
        <w:t>Actores con costos de entrada digitales más bajos pueden ofrecer servicios parciales o interfaces superiores sin replicar toda la estructura física.</w:t>
      </w:r>
    </w:p>
    <w:p w14:paraId="3D6B27A6" w14:textId="77777777" w:rsidR="00EE0236" w:rsidRDefault="00C607ED">
      <w:pPr>
        <w:pStyle w:val="Listaconvietas"/>
      </w:pPr>
      <w:r>
        <w:t>Barreras legales y de reputación protegen parte del negocio institucional, pero no eliminan la comparación en calidad percibida del servicio.</w:t>
      </w:r>
    </w:p>
    <w:p w14:paraId="52DCDBED" w14:textId="77777777" w:rsidR="00EE0236" w:rsidRDefault="00C607ED">
      <w:pPr>
        <w:pStyle w:val="Listaconvietas"/>
      </w:pPr>
      <w:r>
        <w:t>La lentitud en modernizar arquitectura y datos amplía la ventana para quienes entran con stack más nuevo.</w:t>
      </w:r>
    </w:p>
    <w:p w14:paraId="7DEDFE04" w14:textId="77777777" w:rsidR="00EE0236" w:rsidRDefault="00C607ED">
      <w:pPr>
        <w:pStyle w:val="Ttulo3"/>
      </w:pPr>
      <w:r>
        <w:t>2.3 Amenaza de productos o servicios sustitutos</w:t>
      </w:r>
    </w:p>
    <w:p w14:paraId="2E36E760" w14:textId="77777777" w:rsidR="00EE0236" w:rsidRDefault="00C607ED">
      <w:r>
        <w:t>Intensidad: media-alta.</w:t>
      </w:r>
    </w:p>
    <w:p w14:paraId="0B571463" w14:textId="77777777" w:rsidR="00EE0236" w:rsidRDefault="00C607ED">
      <w:pPr>
        <w:pStyle w:val="Listaconvietas"/>
      </w:pPr>
      <w:r>
        <w:t>Sustitutos no son solo “otro banco”: incluyen otros canales de pago, financiamiento o información que el ciudadano usa por comodidad.</w:t>
      </w:r>
    </w:p>
    <w:p w14:paraId="26B5CA85" w14:textId="77777777" w:rsidR="00EE0236" w:rsidRDefault="00C607ED">
      <w:pPr>
        <w:pStyle w:val="Listaconvietas"/>
      </w:pPr>
      <w:r>
        <w:t>Cuando los trámites internos son manuales o fragmentados, el sustituto “digital” gana aunque no sea equivalente en cobertura.</w:t>
      </w:r>
    </w:p>
    <w:p w14:paraId="27271EC5" w14:textId="77777777" w:rsidR="00EE0236" w:rsidRDefault="00C607ED">
      <w:pPr>
        <w:pStyle w:val="Listaconvietas"/>
      </w:pPr>
      <w:r>
        <w:t>Mejorar integración y experiencia reduce la propensión a buscar alternativas paralelas.</w:t>
      </w:r>
    </w:p>
    <w:p w14:paraId="22D425DD" w14:textId="77777777" w:rsidR="00EE0236" w:rsidRDefault="00C607ED">
      <w:pPr>
        <w:pStyle w:val="Ttulo3"/>
      </w:pPr>
      <w:r>
        <w:t>2.4 Poder de negociación de los clientes</w:t>
      </w:r>
    </w:p>
    <w:p w14:paraId="3FBD4EE6" w14:textId="77777777" w:rsidR="00EE0236" w:rsidRDefault="00C607ED">
      <w:r>
        <w:t>Intensidad: media-alta.</w:t>
      </w:r>
    </w:p>
    <w:p w14:paraId="5C88AF8F" w14:textId="77777777" w:rsidR="00EE0236" w:rsidRDefault="00C607ED">
      <w:pPr>
        <w:pStyle w:val="Listaconvietas"/>
      </w:pPr>
      <w:r>
        <w:t>Municipios y entidades públicas exigen cumplimiento, reportes, tiempos y claridad en el uso de recursos; eso se traduce en poder de exigencia operativa.</w:t>
      </w:r>
    </w:p>
    <w:p w14:paraId="02C3F145" w14:textId="77777777" w:rsidR="00EE0236" w:rsidRDefault="00C607ED">
      <w:pPr>
        <w:pStyle w:val="Listaconvietas"/>
      </w:pPr>
      <w:r>
        <w:t>La baja digitalización relativa (cuando existe) incrementa fricción y reclamos, reforzando la presión.</w:t>
      </w:r>
    </w:p>
    <w:p w14:paraId="320BA242" w14:textId="77777777" w:rsidR="00EE0236" w:rsidRDefault="00C607ED">
      <w:pPr>
        <w:pStyle w:val="Listaconvietas"/>
      </w:pPr>
      <w:r>
        <w:t>Una propuesta de valor más clara en canales digitales y acuerdos de servicio equilibra mejor la relación.</w:t>
      </w:r>
    </w:p>
    <w:p w14:paraId="035C8EAE" w14:textId="77777777" w:rsidR="00EE0236" w:rsidRDefault="00C607ED">
      <w:pPr>
        <w:pStyle w:val="Ttulo3"/>
      </w:pPr>
      <w:r>
        <w:t>2.5 Poder de negociación de los proveedores</w:t>
      </w:r>
    </w:p>
    <w:p w14:paraId="10DA6562" w14:textId="77777777" w:rsidR="00EE0236" w:rsidRDefault="00C607ED">
      <w:r>
        <w:t>Intensidad: media-alta.</w:t>
      </w:r>
    </w:p>
    <w:p w14:paraId="25700E9C" w14:textId="77777777" w:rsidR="00EE0236" w:rsidRDefault="00C607ED">
      <w:pPr>
        <w:pStyle w:val="Listaconvietas"/>
      </w:pPr>
      <w:r>
        <w:t>ERP, nube, integradores y licenciamiento concentran conocimiento y contratos de largo plazo; eso puede generar dependencia (lock-in).</w:t>
      </w:r>
    </w:p>
    <w:p w14:paraId="56ED3E61" w14:textId="77777777" w:rsidR="00EE0236" w:rsidRDefault="00C607ED">
      <w:pPr>
        <w:pStyle w:val="Listaconvietas"/>
      </w:pPr>
      <w:r>
        <w:t>Arquitecturas monolíticas o poco documentadas aumentan el costo de cambio.</w:t>
      </w:r>
    </w:p>
    <w:p w14:paraId="667EE28E" w14:textId="77777777" w:rsidR="00EE0236" w:rsidRDefault="00C607ED">
      <w:pPr>
        <w:pStyle w:val="Listaconvietas"/>
      </w:pPr>
      <w:r>
        <w:t>APIs, estándares abiertos y portabilidad razonable en nube son palancas para reducir ese poder.</w:t>
      </w:r>
    </w:p>
    <w:p w14:paraId="2CC66131" w14:textId="77777777" w:rsidR="00EE0236" w:rsidRDefault="00C607ED">
      <w:pPr>
        <w:pStyle w:val="Ttulo2"/>
      </w:pPr>
      <w:r>
        <w:t>3. Hallazgos estratégicos críticos</w:t>
      </w:r>
    </w:p>
    <w:p w14:paraId="518B5517" w14:textId="77777777" w:rsidR="00EE0236" w:rsidRDefault="00C607ED">
      <w:pPr>
        <w:pStyle w:val="Ttulo3"/>
      </w:pPr>
      <w:r>
        <w:t>3.1 Principales riesgos estratégicos</w:t>
      </w:r>
    </w:p>
    <w:p w14:paraId="694C2759" w14:textId="77777777" w:rsidR="00EE0236" w:rsidRDefault="00C607ED">
      <w:pPr>
        <w:pStyle w:val="Listaconvietas"/>
      </w:pPr>
      <w:r>
        <w:t>Pérdida de relevancia percibida frente a alternativas digitales más eficientes (rivalidad + sustitutos).</w:t>
      </w:r>
    </w:p>
    <w:p w14:paraId="298E72ED" w14:textId="77777777" w:rsidR="00EE0236" w:rsidRDefault="00C607ED">
      <w:pPr>
        <w:pStyle w:val="Listaconvietas"/>
      </w:pPr>
      <w:r>
        <w:t>Dependencia tecnológica que encarece cambios y reduce flexibilidad (proveedores).</w:t>
      </w:r>
    </w:p>
    <w:p w14:paraId="58DBAFA9" w14:textId="77777777" w:rsidR="00EE0236" w:rsidRDefault="00C607ED">
      <w:pPr>
        <w:pStyle w:val="Listaconvietas"/>
      </w:pPr>
      <w:r>
        <w:t>Brecha de servicio frente a expectativas de municipios y entidades públicas (clientes).</w:t>
      </w:r>
    </w:p>
    <w:p w14:paraId="7EEEBDC2" w14:textId="77777777" w:rsidR="00EE0236" w:rsidRDefault="00C607ED">
      <w:pPr>
        <w:pStyle w:val="Listaconvietas"/>
      </w:pPr>
      <w:r>
        <w:t>Entrada de competidores más ágiles mientras la entidad conserva inercia en canales y procesos (nuevos entrantes).</w:t>
      </w:r>
    </w:p>
    <w:p w14:paraId="27F2B3BD" w14:textId="77777777" w:rsidR="00EE0236" w:rsidRDefault="00C607ED">
      <w:pPr>
        <w:pStyle w:val="Ttulo3"/>
      </w:pPr>
      <w:r>
        <w:t>3.2 Principales debilidades tecnológicas</w:t>
      </w:r>
    </w:p>
    <w:p w14:paraId="24E621AB" w14:textId="77777777" w:rsidR="00EE0236" w:rsidRDefault="00C607ED">
      <w:pPr>
        <w:pStyle w:val="Listaconvietas"/>
      </w:pPr>
      <w:r>
        <w:t>Infraestructura legacy y arquitecturas poco modulares que dificultan integración.</w:t>
      </w:r>
    </w:p>
    <w:p w14:paraId="2BA665F4" w14:textId="77777777" w:rsidR="00EE0236" w:rsidRDefault="00C607ED">
      <w:pPr>
        <w:pStyle w:val="Listaconvietas"/>
      </w:pPr>
      <w:r>
        <w:t>Digitalización de servicios y automatización aún incipientes en tramos clave.</w:t>
      </w:r>
    </w:p>
    <w:p w14:paraId="29A20A66" w14:textId="77777777" w:rsidR="00EE0236" w:rsidRDefault="00C607ED">
      <w:pPr>
        <w:pStyle w:val="Listaconvietas"/>
      </w:pPr>
      <w:r>
        <w:t>Gobierno de datos en construcción: analítica y decisiones con información fragmentada.</w:t>
      </w:r>
    </w:p>
    <w:p w14:paraId="4875ACD7" w14:textId="77777777" w:rsidR="00EE0236" w:rsidRDefault="00C607ED">
      <w:pPr>
        <w:pStyle w:val="Listaconvietas"/>
      </w:pPr>
      <w:r>
        <w:t>Interoperabilidad limitada cuando no hay enfoque API-first.</w:t>
      </w:r>
    </w:p>
    <w:p w14:paraId="6574A060" w14:textId="77777777" w:rsidR="00EE0236" w:rsidRDefault="00C607ED">
      <w:pPr>
        <w:pStyle w:val="Listaconvietas"/>
      </w:pPr>
      <w:r>
        <w:t>Experiencia de usuario en canales digitales por debajo de estándares de mercado.</w:t>
      </w:r>
    </w:p>
    <w:p w14:paraId="46396EC6" w14:textId="77777777" w:rsidR="00EE0236" w:rsidRDefault="00C607ED">
      <w:pPr>
        <w:pStyle w:val="Ttulo3"/>
      </w:pPr>
      <w:r>
        <w:t>3.3 Oportunidades de mejora</w:t>
      </w:r>
    </w:p>
    <w:p w14:paraId="245B6AFD" w14:textId="77777777" w:rsidR="00EE0236" w:rsidRDefault="00C607ED">
      <w:pPr>
        <w:pStyle w:val="Listaconvietas"/>
      </w:pPr>
      <w:r>
        <w:t>Migración gradual a nube con criterios de portabilidad y costo-total.</w:t>
      </w:r>
    </w:p>
    <w:p w14:paraId="62242335" w14:textId="77777777" w:rsidR="00EE0236" w:rsidRDefault="00C607ED">
      <w:pPr>
        <w:pStyle w:val="Listaconvietas"/>
      </w:pPr>
      <w:r>
        <w:t>Arquitecturas abiertas y APIs para desacoplar y negociar mejor con proveedores.</w:t>
      </w:r>
    </w:p>
    <w:p w14:paraId="1F67840B" w14:textId="77777777" w:rsidR="00EE0236" w:rsidRDefault="00C607ED">
      <w:pPr>
        <w:pStyle w:val="Listaconvietas"/>
      </w:pPr>
      <w:r>
        <w:t>Ciberseguridad y cumplimiento como argumento de confianza frente a clientes institucionales y regulación.</w:t>
      </w:r>
    </w:p>
    <w:p w14:paraId="61416107" w14:textId="77777777" w:rsidR="00EE0236" w:rsidRDefault="00C607ED">
      <w:pPr>
        <w:pStyle w:val="Listaconvietas"/>
      </w:pPr>
      <w:r>
        <w:t>RPA e IA aplicada a procesos repetitivos para ganar tiempo y calidad.</w:t>
      </w:r>
    </w:p>
    <w:p w14:paraId="24342AE0" w14:textId="77777777" w:rsidR="00EE0236" w:rsidRDefault="00C607ED">
      <w:pPr>
        <w:pStyle w:val="Listaconvietas"/>
      </w:pPr>
      <w:r>
        <w:t>Plataforma digital integrada para unificar canales y bajar fricción al usuario.</w:t>
      </w:r>
    </w:p>
    <w:p w14:paraId="005DAB58" w14:textId="77777777" w:rsidR="00EE0236" w:rsidRDefault="00C607ED">
      <w:pPr>
        <w:pStyle w:val="Ttulo2"/>
      </w:pPr>
      <w:r>
        <w:t>4. Nivel global de competitividad</w:t>
      </w:r>
    </w:p>
    <w:p w14:paraId="24830BE3" w14:textId="77777777" w:rsidR="00EE0236" w:rsidRDefault="00C607ED">
      <w:r>
        <w:t>Calificación cualitativa: medio-baja, con tendencia a empeorar si no hay intervención coordinada entre dirección institucional y TI.</w:t>
      </w:r>
    </w:p>
    <w:p w14:paraId="526BD0CB" w14:textId="77777777" w:rsidR="00EE0236" w:rsidRDefault="00C607ED">
      <w:r>
        <w:t>Factores limitantes: brecha tecnológica estimada en el orden de dos a tres años frente a referentes digitales del sector (estimación orientativa), exposición simultánea a varias fuerzas de Porter en intensidad alta o media-alta, y dependencia de proveedores cuando la arquitectura no favorece el cambio.</w:t>
      </w:r>
    </w:p>
    <w:p w14:paraId="0D35CEFF" w14:textId="77777777" w:rsidR="00EE0236" w:rsidRDefault="00C607ED">
      <w:r>
        <w:t>Factores que amortiguan el choque inmediato: mandato y relación con territorio (municipios), conocimiento del fomento regional, continuidad operativa de sistemas actuales y cumplimiento normativo histórico. Aun así, la dinámica del mercado presiona por acelerar decisiones.</w:t>
      </w:r>
    </w:p>
    <w:p w14:paraId="6452B88B" w14:textId="77777777" w:rsidR="00EE0236" w:rsidRDefault="00C607ED">
      <w:pPr>
        <w:pStyle w:val="Ttulo2"/>
      </w:pPr>
      <w:r>
        <w:t>5. TI como factor determinante</w:t>
      </w:r>
    </w:p>
    <w:p w14:paraId="547E9745" w14:textId="77777777" w:rsidR="00EE0236" w:rsidRDefault="00C607ED">
      <w:r>
        <w:t>TI deja de verse solo como soporte cuando las cinco fuerzas empujan por velocidad, datos confiables y costos transparentes. Sin una gobernanza clara que conecte prioridades institucionales con cartera TI, los proyectos quedan como parches.</w:t>
      </w:r>
    </w:p>
    <w:p w14:paraId="177E05B0" w14:textId="77777777" w:rsidR="00EE0236" w:rsidRDefault="00C607ED">
      <w:r>
        <w:t>Modernizar con criterio puede redistribuir poder: menos dependencia excesiva de proveedores, mejor respuesta a clientes institucionales, mayores barreras efectivas frente a entrantes livianos que solo “pintan” la interfaz, y propuesta más sólida frente a sustitutos.</w:t>
      </w:r>
    </w:p>
    <w:p w14:paraId="58ACFFB0" w14:textId="77777777" w:rsidR="00EE0236" w:rsidRDefault="00C607ED">
      <w:r>
        <w:t>La ventana útil para movimientos estructurales es acotada: si se posterga la base (nube bien gobernada, datos, seguridad, integración), el costo de recuperación suele crecer en forma no lineal.</w:t>
      </w:r>
    </w:p>
    <w:p w14:paraId="7FD9D91A" w14:textId="77777777" w:rsidR="00EE0236" w:rsidRDefault="00C607ED">
      <w:pPr>
        <w:pStyle w:val="Ttulo2"/>
      </w:pPr>
      <w:r>
        <w:t>6. Priorización estratégica (6–12 meses)</w:t>
      </w:r>
    </w:p>
    <w:p w14:paraId="636AB64D" w14:textId="77777777" w:rsidR="00EE0236" w:rsidRDefault="00C607ED">
      <w:pPr>
        <w:pStyle w:val="Listaconvietas"/>
      </w:pPr>
      <w:r>
        <w:t>Crítico: modernizar fundaciones (nube con estándar de portabilidad + arquitectura API-first) para reducir lock-in y habilitar evolución.</w:t>
      </w:r>
    </w:p>
    <w:p w14:paraId="0FE08B8E" w14:textId="77777777" w:rsidR="00EE0236" w:rsidRDefault="00C607ED">
      <w:pPr>
        <w:pStyle w:val="Listaconvietas"/>
      </w:pPr>
      <w:r>
        <w:t>Crítico: gobierno de datos y seguridad de la información como requisito para escalar digitalización sin aumentar riesgo regulatorio.</w:t>
      </w:r>
    </w:p>
    <w:p w14:paraId="3456896C" w14:textId="77777777" w:rsidR="00EE0236" w:rsidRDefault="00C607ED">
      <w:pPr>
        <w:pStyle w:val="Listaconvietas"/>
      </w:pPr>
      <w:r>
        <w:t>Rápido: digitalizar servicios críticos al cliente institucional con metas de servicio explícitas.</w:t>
      </w:r>
    </w:p>
    <w:p w14:paraId="76E2CEF8" w14:textId="77777777" w:rsidR="00EE0236" w:rsidRDefault="00C607ED">
      <w:pPr>
        <w:pStyle w:val="Listaconvietas"/>
      </w:pPr>
      <w:r>
        <w:t>Rápido: automatización interna (RPA) para liberar capacidad y financiar cambios.</w:t>
      </w:r>
    </w:p>
    <w:p w14:paraId="762AFF05" w14:textId="77777777" w:rsidR="00EE0236" w:rsidRDefault="00C607ED">
      <w:r>
        <w:t>Los rangos numéricos de impacto (por ejemplo, 25–40 % en eficiencias operativas) deben validarse con línea base interna; aquí cumplen función de anclar prioridades, no de auditoría.</w:t>
      </w:r>
    </w:p>
    <w:p w14:paraId="6A86577A" w14:textId="77777777" w:rsidR="00EE0236" w:rsidRDefault="00C607ED">
      <w:pPr>
        <w:pStyle w:val="Ttulo2"/>
      </w:pPr>
      <w:r>
        <w:t>7. Diagnóstico final</w:t>
      </w:r>
    </w:p>
    <w:p w14:paraId="3ED6DC7B" w14:textId="77777777" w:rsidR="00EE0236" w:rsidRDefault="00C607ED">
      <w:r>
        <w:t>Infivalle enfrenta rivalidad y amenaza de nuevos entrantes en intensidad alta en lo digital, con proveedores y clientes institucionales con poder relevante y sustitutos que presionan la experiencia. La salida no es un “proyecto de TI” aislado, sino un programa con patrocinio directivo, presupuesto y métricas de servicio y riesgo alineadas a la estrategia institucional.</w:t>
      </w:r>
    </w:p>
    <w:p w14:paraId="53D52982" w14:textId="77777777" w:rsidR="00EE0236" w:rsidRDefault="00C607ED">
      <w:r>
        <w:t>Actuar tiene costo; no actuar suele encarecer el mismo camino y reduce opciones. La decisión es si la organización gobierna el cambio a tiempo o asume un rezago estructural frente a las cinco fuerzas descritas.</w:t>
      </w:r>
    </w:p>
    <w:sectPr w:rsidR="00EE0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936149">
    <w:abstractNumId w:val="8"/>
  </w:num>
  <w:num w:numId="2" w16cid:durableId="1238900010">
    <w:abstractNumId w:val="6"/>
  </w:num>
  <w:num w:numId="3" w16cid:durableId="678308823">
    <w:abstractNumId w:val="5"/>
  </w:num>
  <w:num w:numId="4" w16cid:durableId="1822233906">
    <w:abstractNumId w:val="4"/>
  </w:num>
  <w:num w:numId="5" w16cid:durableId="290131042">
    <w:abstractNumId w:val="7"/>
  </w:num>
  <w:num w:numId="6" w16cid:durableId="348793953">
    <w:abstractNumId w:val="3"/>
  </w:num>
  <w:num w:numId="7" w16cid:durableId="814219321">
    <w:abstractNumId w:val="2"/>
  </w:num>
  <w:num w:numId="8" w16cid:durableId="1558390713">
    <w:abstractNumId w:val="1"/>
  </w:num>
  <w:num w:numId="9" w16cid:durableId="167511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D09"/>
    <w:rsid w:val="00AA1D8D"/>
    <w:rsid w:val="00B47730"/>
    <w:rsid w:val="00C607ED"/>
    <w:rsid w:val="00CB0664"/>
    <w:rsid w:val="00EE0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0CDFC"/>
  <w14:defaultImageDpi w14:val="300"/>
  <w15:docId w15:val="{15D83E98-CB16-724D-A8B9-09B5AA4F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1266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Ledesma Alegría</cp:lastModifiedBy>
  <cp:revision>2</cp:revision>
  <dcterms:created xsi:type="dcterms:W3CDTF">2026-05-23T23:32:00Z</dcterms:created>
  <dcterms:modified xsi:type="dcterms:W3CDTF">2026-05-23T23:32:00Z</dcterms:modified>
  <cp:category/>
</cp:coreProperties>
</file>