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0187" w14:textId="446E68BD" w:rsidR="00A04671" w:rsidRDefault="00DD275E">
      <w:pPr>
        <w:rPr>
          <w:lang w:val="es-MX"/>
        </w:rPr>
      </w:pPr>
      <w:r>
        <w:rPr>
          <w:lang w:val="es-MX"/>
        </w:rPr>
        <w:t>Justificación de asignación:</w:t>
      </w:r>
    </w:p>
    <w:p w14:paraId="6DA126D0" w14:textId="70751977" w:rsidR="00DD275E" w:rsidRDefault="00DD275E">
      <w:pPr>
        <w:rPr>
          <w:lang w:val="es-MX"/>
        </w:rPr>
      </w:pPr>
      <w:r>
        <w:rPr>
          <w:lang w:val="es-MX"/>
        </w:rPr>
        <w:t>Cuestionario</w:t>
      </w:r>
    </w:p>
    <w:tbl>
      <w:tblPr>
        <w:tblW w:w="85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2820"/>
        <w:gridCol w:w="929"/>
        <w:gridCol w:w="3813"/>
      </w:tblGrid>
      <w:tr w:rsidR="00DD275E" w:rsidRPr="00DD275E" w14:paraId="775095A4" w14:textId="77777777" w:rsidTr="00DD275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A61AAB7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#</w:t>
            </w:r>
          </w:p>
        </w:tc>
        <w:tc>
          <w:tcPr>
            <w:tcW w:w="2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1FDF144F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Pregunta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C1AEEC5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Puntaje sugerido</w:t>
            </w:r>
          </w:p>
        </w:tc>
        <w:tc>
          <w:tcPr>
            <w:tcW w:w="3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046CDC3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Por qué (evidencia / juicio)</w:t>
            </w:r>
          </w:p>
        </w:tc>
      </w:tr>
      <w:tr w:rsidR="00DD275E" w:rsidRPr="00DD275E" w14:paraId="38321FDA" w14:textId="77777777" w:rsidTr="00DD275E">
        <w:trPr>
          <w:trHeight w:val="27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9B2AE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98B206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¿Cuál es la brecha existente en las habilidades duras requeridas para el manejo deseado de las tecnologías actuales o emergentes?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270D7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DFA7B8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Hay equipo TIC competente en operación, pero el propio PETI marca brecha en capacitación (ciberseguridad, ITIL, gestión de proyectos, arquitectura, nuevas tecnologías) y personal insuficiente frente a la demanda → brecha media, no extrema.</w:t>
            </w:r>
          </w:p>
        </w:tc>
      </w:tr>
      <w:tr w:rsidR="00DD275E" w:rsidRPr="00DD275E" w14:paraId="652C9678" w14:textId="77777777" w:rsidTr="00DD275E">
        <w:trPr>
          <w:trHeight w:val="24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CB826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316E5B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¿Cuál es la brecha existente en habilidades blandas requeridas para afrontar procesos digitales?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39045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A2809B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Cultura de papel, adopción desigual de herramientas y necesidad fuerte de gestión del cambio → habilidades blandas y disposición al cambio acotadas; algo de trabajo institucional (ISO 9001, planes) pero no nivel “maduro”.</w:t>
            </w:r>
          </w:p>
        </w:tc>
      </w:tr>
      <w:tr w:rsidR="00DD275E" w:rsidRPr="00DD275E" w14:paraId="60A31E6F" w14:textId="77777777" w:rsidTr="00DD275E">
        <w:trPr>
          <w:trHeight w:val="21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56377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15BF52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¿Qué tan preparada está la cultura dentro de la entidad para desarrollar iniciativas de transformación digital?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86A0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8EA02A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Hay dirección estratégica y proyectos, pero el diagnóstico BSC sitúa cultura de ejecución y cascada como débiles; la transformación no está instalada como cultura transversal.</w:t>
            </w:r>
          </w:p>
        </w:tc>
      </w:tr>
      <w:tr w:rsidR="00DD275E" w:rsidRPr="00DD275E" w14:paraId="0B66D752" w14:textId="77777777" w:rsidTr="00DD275E">
        <w:trPr>
          <w:trHeight w:val="24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3647C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C2D2ED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¿Qué tan preparados están sus usuarios (ciudadanía y otros) para apropiar y aceptar los cambios de la Entidad frente a su transformación digital?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27489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DD8C93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Clientes institucionales (territorios) con brecha digital y baja transaccionalidad en segmentos; canales digitales en desarrollo (portal, SUIT, etc.) → apropiación ciudadana/externa parcial, no alta.</w:t>
            </w:r>
          </w:p>
        </w:tc>
      </w:tr>
      <w:tr w:rsidR="00DD275E" w:rsidRPr="00DD275E" w14:paraId="2799A2D9" w14:textId="77777777" w:rsidTr="00DD275E">
        <w:trPr>
          <w:trHeight w:val="27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F1832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FDA80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¿Qué tan amplia es la brecha digital en los procesos clave para llegar al estado ideal en materia de transformación digital?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E6460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D84B9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Brecha amplia pero conocida: integración limitada, procedimientos aún manuales en parte, documental no desplegada al máximo; coexisten avances (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core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financiero, algo de digitalización) con mucho por cerrar hacia el “estado ideal”.</w:t>
            </w:r>
          </w:p>
        </w:tc>
      </w:tr>
      <w:tr w:rsidR="00DD275E" w:rsidRPr="00DD275E" w14:paraId="0805C168" w14:textId="77777777" w:rsidTr="00DD275E">
        <w:trPr>
          <w:trHeight w:val="27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9190D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12E6BC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¿Hasta qué punto los proyectos de transformación digital pueden mejorar la eficacia y eficiencia los procesos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core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A7A10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98164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El potencial de mejora con TD es alto: crédito/cartera, tesorería, riesgo, trámites y reportes se beneficiarían mucho de integración, datos y automatización (coherente con prioridades del PETI). No es 4 porque ya hay sistemas que cubren parte del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core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  <w:tr w:rsidR="00DD275E" w:rsidRPr="00DD275E" w14:paraId="68561009" w14:textId="77777777" w:rsidTr="00DD275E">
        <w:trPr>
          <w:trHeight w:val="39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971B8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7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EC8FDD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¿Qué tan efectivo resulta el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esquema  organizacional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existente para llevar adelante un proceso de transformación digital?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7D9F8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51B9E9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Gobierno TI en construcción (comité, PMO, políticas): mejora respecto al “solo soporte”, pero el diagnóstico BSC marcó falta de mapa BSC, débil sincronización proceso–KPI–presupuesto y SLA/proveedores poco formalizados en algunos frentes → esquema organizacional moderadamente efectivo, no sólido.</w:t>
            </w:r>
          </w:p>
        </w:tc>
      </w:tr>
      <w:tr w:rsidR="00DD275E" w:rsidRPr="00DD275E" w14:paraId="46B28783" w14:textId="77777777" w:rsidTr="00DD275E">
        <w:trPr>
          <w:trHeight w:val="21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214CB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8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D47C52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¿La tecnología implementada por la entidad incentiva las soluciones basadas en datos?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480E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31B13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La estrategia apunta a DWH, MDM, BI, analítica de riesgo; en operación aún predominan silos y uso analítico en desarrollo → el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stack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alienta datos, pero no de forma consolidada.</w:t>
            </w:r>
          </w:p>
        </w:tc>
      </w:tr>
      <w:tr w:rsidR="00DD275E" w:rsidRPr="00DD275E" w14:paraId="1BCBB9B4" w14:textId="77777777" w:rsidTr="00DD275E">
        <w:trPr>
          <w:trHeight w:val="21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57DBD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9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B58AA2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¿Cómo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está  la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calidad de los datos en la entidad y qué tan confiable es la recolección, tratamiento y uso de datos en la entidad soportada en las bases de datos?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453EE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4743B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Operación con Oracle/SQL y aplicativos, pero calidad y confianza en datos no están “gobernadas” al nivel objetivo (MDM, catálogo, linaje en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roadmap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 → confiabilidad media.</w:t>
            </w:r>
          </w:p>
        </w:tc>
      </w:tr>
      <w:tr w:rsidR="00DD275E" w:rsidRPr="00DD275E" w14:paraId="6525E785" w14:textId="77777777" w:rsidTr="00DD275E">
        <w:trPr>
          <w:trHeight w:val="21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FF6B2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C7EF5F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¿Están las bases de datos protegidas por tecnologías y procesos en materia de seguridad y privacidad de la información?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6C7C9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B2D4F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Hay controles (firewall,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backup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, SGSI en camino, etc.), pero certificación ISO 27001 y prácticas tipo SOC en evolución → protección parcial, no “optimizada”.</w:t>
            </w:r>
          </w:p>
        </w:tc>
      </w:tr>
      <w:tr w:rsidR="00DD275E" w:rsidRPr="00DD275E" w14:paraId="7F4BE421" w14:textId="77777777" w:rsidTr="00DD275E">
        <w:trPr>
          <w:trHeight w:val="21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FBF84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11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D321DE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¿Las bases de datos son utilizadas para la toma de decisiones por las distintas áreas de la entidad?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6FF52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3D8CB6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Hay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reporting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y sistemas de gestión (p. ej. riesgo en documentación PETI), pero no hay cultura plena data-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driven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en todas las áreas; muchas decisiones aún por oficio y hojas paralelas.</w:t>
            </w:r>
          </w:p>
        </w:tc>
      </w:tr>
      <w:tr w:rsidR="00DD275E" w:rsidRPr="00DD275E" w14:paraId="00699D23" w14:textId="77777777" w:rsidTr="00DD275E">
        <w:trPr>
          <w:trHeight w:val="27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BB7CF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12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473061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¿Las tecnologías actuales son lo suficientemente robustas para suplir las necesidades de los usuarios al interior de la entidad?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7CB35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DBA584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Fortaleza relativa: centros de datos (principal + alterno), virtualización, continuidad y respaldos,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core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IAS/ERP en operación; coexisten obsolescencia y metas de mejora (disponibilidad, MTTR) → robusta, no excelente.</w:t>
            </w:r>
          </w:p>
        </w:tc>
      </w:tr>
      <w:tr w:rsidR="00DD275E" w:rsidRPr="00DD275E" w14:paraId="4215D4ED" w14:textId="77777777" w:rsidTr="00DD275E">
        <w:trPr>
          <w:trHeight w:val="21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DF592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13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2C22D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¿Las tecnologías actuales son lo suficientemente robustas para suplir las necesidades en la interacción con la ciudadanía?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FFC03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53B364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INFIBANCA, web y línea hacia SUIT, pero baja digitalización de trámites en línea base y experiencia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omnicanal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 en construcción → para ciudadanía la robustez es moderada.</w:t>
            </w:r>
          </w:p>
        </w:tc>
      </w:tr>
      <w:tr w:rsidR="00DD275E" w:rsidRPr="00DD275E" w14:paraId="3C4E8A1B" w14:textId="77777777" w:rsidTr="00DD275E">
        <w:trPr>
          <w:trHeight w:val="21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65A84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14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1B72A9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¿Conoce las tecnologías más relevantes que tengo implementadas en mis procesos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core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 (Tecnologías indispensables para el funcionamiento de la organización)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AAF23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DA137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El inventario de sistemas en el PETI (IAS, DOCUNET, INFIDATOS, red, seguridad básica…) muestra conocimiento razonable de lo implementado en procesos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core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  <w:tr w:rsidR="00DD275E" w:rsidRPr="00DD275E" w14:paraId="6F0293CC" w14:textId="77777777" w:rsidTr="00DD275E">
        <w:trPr>
          <w:trHeight w:val="24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50075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15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BF4964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¿Conoce las tecnologías correspondientes a la cuarta revolución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industrial  para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potenciar la eficiencia y eficacia de los principales procesos y para mejorar la interacción con la ciudadanía?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F66B6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C3FE60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Hay noción de IA,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big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data,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blockchain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en visión PETI, pero sin observatorio ni portafolio maduro de casos 4RI → conocimiento superficial/incipiente frente a uso real.</w:t>
            </w:r>
          </w:p>
        </w:tc>
      </w:tr>
      <w:tr w:rsidR="00DD275E" w:rsidRPr="00DD275E" w14:paraId="4F101AAA" w14:textId="77777777" w:rsidTr="00DD275E">
        <w:trPr>
          <w:trHeight w:val="21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CDABE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16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907893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¿Existen al interior brechas entre las tecnologías actuales de la entidad y las tecnologías de la cuarta revolución industrial, para suplir las necesidades de los procesos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core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E792B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2B3152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Las brechas 4RI son explícitas en el documento estratégico (ciberseguridad avanzada, automatización, analítica, nube híbrida, integración) → existen claramente, no pequeñas.</w:t>
            </w:r>
          </w:p>
        </w:tc>
      </w:tr>
      <w:tr w:rsidR="00DD275E" w:rsidRPr="00DD275E" w14:paraId="5A5A9491" w14:textId="77777777" w:rsidTr="00DD275E">
        <w:trPr>
          <w:trHeight w:val="24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BB99C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17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C64F3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¿Se identifican los tiempos, riesgos y costos requeridos para la implementación y adaptación de las tecnologías de la cuarta revolución industrial en los procesos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core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de la entidad?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787E" w14:textId="77777777" w:rsidR="00DD275E" w:rsidRPr="00DD275E" w:rsidRDefault="00DD275E" w:rsidP="00DD275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3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07F26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Hay portafolio por olas, presupuestos referidos y PMO con PMBOK 7 en el relato estratégico, pero no todo está cerrado con análisis de riesgo/costo/tiempo detallado por iniciativa 4RI → identificación parcial.</w:t>
            </w:r>
          </w:p>
        </w:tc>
      </w:tr>
    </w:tbl>
    <w:p w14:paraId="6C88B658" w14:textId="77777777" w:rsidR="00DD275E" w:rsidRDefault="00DD275E">
      <w:pPr>
        <w:rPr>
          <w:lang w:val="es-MX"/>
        </w:rPr>
      </w:pPr>
    </w:p>
    <w:p w14:paraId="6CE52020" w14:textId="77777777" w:rsidR="00DD275E" w:rsidRDefault="00DD275E">
      <w:pPr>
        <w:rPr>
          <w:lang w:val="es-MX"/>
        </w:rPr>
      </w:pPr>
    </w:p>
    <w:p w14:paraId="1C1DA36B" w14:textId="77777777" w:rsidR="00DD275E" w:rsidRDefault="00DD275E">
      <w:pPr>
        <w:rPr>
          <w:lang w:val="es-MX"/>
        </w:rPr>
      </w:pPr>
    </w:p>
    <w:p w14:paraId="4DAEE53B" w14:textId="43134E74" w:rsidR="00DD275E" w:rsidRDefault="00DD275E">
      <w:pPr>
        <w:rPr>
          <w:lang w:val="es-MX"/>
        </w:rPr>
      </w:pPr>
      <w:r>
        <w:rPr>
          <w:lang w:val="es-MX"/>
        </w:rPr>
        <w:t>Mapa de calor</w:t>
      </w:r>
    </w:p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5920"/>
      </w:tblGrid>
      <w:tr w:rsidR="00DD275E" w:rsidRPr="00DD275E" w14:paraId="343C7B88" w14:textId="77777777" w:rsidTr="00DD275E">
        <w:trPr>
          <w:trHeight w:val="30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noWrap/>
            <w:vAlign w:val="bottom"/>
            <w:hideMark/>
          </w:tcPr>
          <w:p w14:paraId="4507B2E7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Fila / Área</w:t>
            </w:r>
          </w:p>
        </w:tc>
        <w:tc>
          <w:tcPr>
            <w:tcW w:w="5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bottom"/>
            <w:hideMark/>
          </w:tcPr>
          <w:p w14:paraId="53671279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Por qué (síntesis)</w:t>
            </w:r>
          </w:p>
        </w:tc>
      </w:tr>
      <w:tr w:rsidR="00DD275E" w:rsidRPr="00DD275E" w14:paraId="37304CCE" w14:textId="77777777" w:rsidTr="00DD275E">
        <w:trPr>
          <w:trHeight w:val="6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BE681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1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Planeación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/ PMO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A68B06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Alto contacto en planeación y priorización de portafolio/proyectos; poco en operación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core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pura.</w:t>
            </w:r>
          </w:p>
        </w:tc>
      </w:tr>
      <w:tr w:rsidR="00DD275E" w:rsidRPr="00DD275E" w14:paraId="27530402" w14:textId="77777777" w:rsidTr="00DD275E">
        <w:trPr>
          <w:trHeight w:val="6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F5CB1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 OTI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93D4AF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Habilitador transversal; PETI apunta a integración, datos, seguridad, canales → máxima intensidad en cruces reales.</w:t>
            </w:r>
          </w:p>
        </w:tc>
      </w:tr>
      <w:tr w:rsidR="00DD275E" w:rsidRPr="00DD275E" w14:paraId="73405C27" w14:textId="77777777" w:rsidTr="00DD275E">
        <w:trPr>
          <w:trHeight w:val="6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D90AD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 xml:space="preserve">3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Talento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humano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340F6C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Fuerte en capacitación/comunicación para P1 y P8; bajo en núcleos financieros.</w:t>
            </w:r>
          </w:p>
        </w:tc>
      </w:tr>
      <w:tr w:rsidR="00DD275E" w:rsidRPr="00DD275E" w14:paraId="220A0998" w14:textId="77777777" w:rsidTr="00DD275E">
        <w:trPr>
          <w:trHeight w:val="6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C2DAC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4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Gestión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financiera / Tesorería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0C95E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Pico en P4 (tesorería opera tesorería); vínculos medios con cartera/proyectos.</w:t>
            </w:r>
          </w:p>
        </w:tc>
      </w:tr>
      <w:tr w:rsidR="00DD275E" w:rsidRPr="00DD275E" w14:paraId="1B45D44E" w14:textId="77777777" w:rsidTr="00DD275E">
        <w:trPr>
          <w:trHeight w:val="6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DC04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5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Crédito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/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Originación</w:t>
            </w:r>
            <w:proofErr w:type="spellEnd"/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EB7074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Pico en P2; vínculos con cartera y atención por solicitudes/canales.</w:t>
            </w:r>
          </w:p>
        </w:tc>
      </w:tr>
      <w:tr w:rsidR="00DD275E" w:rsidRPr="00DD275E" w14:paraId="3094EF6E" w14:textId="77777777" w:rsidTr="00DD275E">
        <w:trPr>
          <w:trHeight w:val="3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E76B9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6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Cartera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/ recuperación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D6E80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Pico en P3; riesgos y datos para </w:t>
            </w:r>
            <w:proofErr w:type="spell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reporting</w:t>
            </w:r>
            <w:proofErr w:type="spell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</w:tr>
      <w:tr w:rsidR="00DD275E" w:rsidRPr="00DD275E" w14:paraId="552CD2F3" w14:textId="77777777" w:rsidTr="00DD275E">
        <w:trPr>
          <w:trHeight w:val="6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1B03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7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Gestión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integral de proyectos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329F1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Pico en C5–C6 (ciclo de fomento/INFIDATOS); documental por expedientes de proyecto.</w:t>
            </w:r>
          </w:p>
        </w:tc>
      </w:tr>
      <w:tr w:rsidR="00DD275E" w:rsidRPr="00DD275E" w14:paraId="43183001" w14:textId="77777777" w:rsidTr="00DD275E">
        <w:trPr>
          <w:trHeight w:val="6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8A4C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8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Archivo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/ documental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B74D2A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Pico en P7 (DOCUNET/expediente); apoyo transversal en crédito/cartera/proyectos.</w:t>
            </w:r>
          </w:p>
        </w:tc>
      </w:tr>
      <w:tr w:rsidR="00DD275E" w:rsidRPr="00DD275E" w14:paraId="68900E54" w14:textId="77777777" w:rsidTr="00DD275E">
        <w:trPr>
          <w:trHeight w:val="6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677FF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9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Riesgos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/ Cumplimiento / CI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63F1D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 en P2–P4 (control y reportes); documental 6; atención menos crítica.</w:t>
            </w:r>
          </w:p>
        </w:tc>
      </w:tr>
      <w:tr w:rsidR="00DD275E" w:rsidRPr="00DD275E" w14:paraId="59CB337D" w14:textId="77777777" w:rsidTr="00DD275E">
        <w:trPr>
          <w:trHeight w:val="60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2A1B3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10 </w:t>
            </w:r>
            <w:proofErr w:type="gramStart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Atención</w:t>
            </w:r>
            <w:proofErr w:type="gramEnd"/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/ Comunicaciones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25387" w14:textId="77777777" w:rsidR="00DD275E" w:rsidRPr="00DD275E" w:rsidRDefault="00DD275E" w:rsidP="00DD275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DD27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Pico en P8 (PQRS/SUIT/experiencia); documental por radicación.</w:t>
            </w:r>
          </w:p>
        </w:tc>
      </w:tr>
    </w:tbl>
    <w:p w14:paraId="0F4C34BF" w14:textId="77777777" w:rsidR="00DD275E" w:rsidRDefault="00DD275E">
      <w:pPr>
        <w:rPr>
          <w:lang w:val="es-MX"/>
        </w:rPr>
      </w:pPr>
    </w:p>
    <w:p w14:paraId="2D0B68A8" w14:textId="77777777" w:rsidR="00DD275E" w:rsidRPr="00DD275E" w:rsidRDefault="00DD275E">
      <w:pPr>
        <w:rPr>
          <w:lang w:val="es-MX"/>
        </w:rPr>
      </w:pPr>
    </w:p>
    <w:sectPr w:rsidR="00DD275E" w:rsidRPr="00DD27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5E"/>
    <w:rsid w:val="00037926"/>
    <w:rsid w:val="00A04671"/>
    <w:rsid w:val="00DD275E"/>
    <w:rsid w:val="00FB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6C67"/>
  <w15:chartTrackingRefBased/>
  <w15:docId w15:val="{8D06A78B-584B-4E2D-B892-9E094BEB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2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2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2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2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2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2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2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2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2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2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2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2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27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27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2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27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2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2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2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2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2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2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2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27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27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27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2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27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2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0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7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2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1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5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0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9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3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5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1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2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4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4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81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1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2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3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4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1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7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2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7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3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40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8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1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1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1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7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5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4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1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1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5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9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6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7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6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9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70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8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5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4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734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1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2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0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3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0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9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7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9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0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9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7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8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71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5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3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08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7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9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4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4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4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5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2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8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0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6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0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74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8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6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7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09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1071</Words>
  <Characters>5896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Salomon Urbano Martinez</dc:creator>
  <cp:keywords/>
  <dc:description/>
  <cp:lastModifiedBy>Erick Salomon Urbano Martinez</cp:lastModifiedBy>
  <cp:revision>1</cp:revision>
  <dcterms:created xsi:type="dcterms:W3CDTF">2026-05-12T04:32:00Z</dcterms:created>
  <dcterms:modified xsi:type="dcterms:W3CDTF">2026-05-12T04:39:00Z</dcterms:modified>
</cp:coreProperties>
</file>