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dedication"/>
      <w:r>
        <w:t xml:space="preserve">Dedication</w:t>
      </w:r>
      <w:bookmarkEnd w:id="20"/>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introduction"/>
      <w:r>
        <w:t xml:space="preserve">Introduction</w:t>
      </w:r>
      <w:bookmarkEnd w:id="22"/>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3"/>
      </w:r>
      <w:r>
        <w:t xml:space="preserve"> </w:t>
      </w:r>
      <w:r>
        <w:t xml:space="preserve">A partial list of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gap that exists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for others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section,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large-enough corpora of spoken Hebrew, a corpus of film subtitles was used instead.</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5" w:name="background"/>
      <w:r>
        <w:t xml:space="preserve">Background: Review of the literature</w:t>
      </w:r>
      <w:bookmarkEnd w:id="25"/>
    </w:p>
    <w:p>
      <w:pPr>
        <w:pStyle w:val="FirstParagraph"/>
      </w:pPr>
      <w:r>
        <w:t xml:space="preserve">The theoretical foundation of frequency dictionaries—sometimes referred to as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(2013, p. 34)</w:t>
      </w:r>
      <w:r>
        <w:t xml:space="preserve">.</w:t>
      </w:r>
    </w:p>
    <w:p>
      <w:pPr>
        <w:pStyle w:val="BodyText"/>
      </w:pPr>
      <w:r>
        <w:t xml:space="preserve">This observation guides the entire endeavor of frequency dictionary creation and use. Though the FDOSH is not sorted using raw frequency alone</w:t>
      </w:r>
      <w:r>
        <w:rPr>
          <w:rStyle w:val="FootnoteReference"/>
        </w:rPr>
        <w:footnoteReference w:id="26"/>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will be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7" w:name="corpus-design"/>
      <w:r>
        <w:t xml:space="preserve">Corpus design</w:t>
      </w:r>
      <w:bookmarkEnd w:id="27"/>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8" w:name="corpus-size"/>
      <w:r>
        <w:t xml:space="preserve">Corpus size</w:t>
      </w:r>
      <w:bookmarkEnd w:id="28"/>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which began to be compiled at increasingly faster rates. Many of these corpora were created—in part—to serve as parallel corpora of different varieties of English.</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9"/>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essense,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thesis.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30" w:name="text-types"/>
      <w:r>
        <w:t xml:space="preserve">Text types</w:t>
      </w:r>
      <w:bookmarkEnd w:id="30"/>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has the unfortunate effect of leading to frequency lists that serve no clear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In other words, are there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r>
        <w:t xml:space="preserve"> </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have been identified. Yet,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He therefore claims that his own study of vocabulary frequency using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1" w:name="conversation-text-type"/>
      <w:r>
        <w:t xml:space="preserve">Conversation text type</w:t>
      </w:r>
      <w:bookmarkEnd w:id="31"/>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(2007, p. 675)</w:t>
      </w:r>
      <w:r>
        <w:t xml:space="preserve">. In many cases, it actually fared much better, surprising even the researchers themselves. However, this can only be considered a preliminary finding since the sample sizes of the lexical decision task experiments were so small (234 and 240 words).</w:t>
      </w:r>
    </w:p>
    <w:p>
      <w:pPr>
        <w:pStyle w:val="BodyText"/>
      </w:pPr>
      <w:r>
        <w:t xml:space="preserve">Picking up on these findings,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(Sorell, 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courses,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decision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word-family-level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 Given the similar target audience, and using the same reasoning, the current thesis measures lemmas for the creation of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than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(2008, 2010)</w:t>
      </w:r>
      <w:r>
        <w:t xml:space="preserve">. Unlike earlier proposals, however, Gries’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(2008, p. 419; Lijffijt &amp; Gries, 2012)</w:t>
      </w:r>
      <w:r>
        <w:t xml:space="preserve">. The entire equation looks like this:</w:t>
      </w:r>
    </w:p>
    <w:p>
      <w:pPr>
        <w:pStyle w:val="BodyText"/>
      </w:pPr>
      <m:oMathPara>
        <m:oMathParaPr>
          <m:jc m:val="center"/>
        </m:oMathParaPr>
        <m:oMath>
          <m:r>
            <m:t>D</m:t>
          </m:r>
          <m:r>
            <m:t>P</m:t>
          </m:r>
          <m:r>
            <m:t> </m:t>
          </m:r>
          <m:r>
            <m:t>=</m:t>
          </m:r>
          <m:r>
            <m:t> </m:t>
          </m:r>
          <m:r>
            <m:t>0.5</m:t>
          </m:r>
          <m:nary>
            <m:naryPr>
              <m:chr m:val="∑"/>
              <m:limLoc m:val="undOvr"/>
              <m:subHide m:val="0"/>
              <m:supHide m:val="0"/>
            </m:naryPr>
            <m:sub>
              <m:r>
                <m:t>i</m:t>
              </m:r>
              <m:r>
                <m:t>=</m:t>
              </m:r>
              <m:r>
                <m:t>1</m:t>
              </m:r>
            </m:sub>
            <m:sup>
              <m:r>
                <m:t>n</m:t>
              </m:r>
            </m:sup>
            <m:e>
              <m:d>
                <m:dPr>
                  <m:begChr m:val="|"/>
                  <m:endChr m:val="|"/>
                  <m:grow/>
                </m:dPr>
                <m:e>
                  <m:r>
                    <m:t> </m:t>
                  </m:r>
                  <m:f>
                    <m:fPr>
                      <m:type m:val="bar"/>
                    </m:fPr>
                    <m:num>
                      <m:r>
                        <m:t>t</m:t>
                      </m:r>
                      <m:r>
                        <m:t>o</m:t>
                      </m:r>
                      <m:r>
                        <m:t>k</m:t>
                      </m:r>
                      <m:r>
                        <m:t>e</m:t>
                      </m:r>
                      <m:r>
                        <m:t>n</m:t>
                      </m:r>
                      <m:r>
                        <m:t>s</m:t>
                      </m:r>
                      <m:r>
                        <m:t> </m:t>
                      </m:r>
                      <m:r>
                        <m:t>i</m:t>
                      </m:r>
                      <m:r>
                        <m:t>n</m:t>
                      </m:r>
                      <m:r>
                        <m:t> </m:t>
                      </m:r>
                      <m:r>
                        <m:t>s</m:t>
                      </m:r>
                      <m:r>
                        <m:t>u</m:t>
                      </m:r>
                      <m:r>
                        <m:t>b</m:t>
                      </m:r>
                      <m:r>
                        <m:t>c</m:t>
                      </m:r>
                      <m:r>
                        <m:t>o</m:t>
                      </m:r>
                      <m:r>
                        <m:t>r</m:t>
                      </m:r>
                      <m:r>
                        <m:t>p</m:t>
                      </m:r>
                      <m:r>
                        <m:t>u</m:t>
                      </m:r>
                      <m:sSub>
                        <m:e>
                          <m:r>
                            <m:t>s</m:t>
                          </m:r>
                        </m:e>
                        <m:sub>
                          <m:r>
                            <m:t>i</m:t>
                          </m:r>
                        </m:sub>
                      </m:sSub>
                    </m:num>
                    <m:den>
                      <m:r>
                        <m:t>t</m:t>
                      </m:r>
                      <m:r>
                        <m:t>o</m:t>
                      </m:r>
                      <m:r>
                        <m:t>k</m:t>
                      </m:r>
                      <m:r>
                        <m:t>e</m:t>
                      </m:r>
                      <m:r>
                        <m:t>n</m:t>
                      </m:r>
                      <m:r>
                        <m:t>s</m:t>
                      </m:r>
                      <m:r>
                        <m:t> </m:t>
                      </m:r>
                      <m:r>
                        <m:t>i</m:t>
                      </m:r>
                      <m:r>
                        <m:t>n</m:t>
                      </m:r>
                      <m:r>
                        <m:t> </m:t>
                      </m:r>
                      <m:r>
                        <m:t>c</m:t>
                      </m:r>
                      <m:r>
                        <m:t>o</m:t>
                      </m:r>
                      <m:r>
                        <m:t>r</m:t>
                      </m:r>
                      <m:r>
                        <m:t>p</m:t>
                      </m:r>
                      <m:r>
                        <m:t>u</m:t>
                      </m:r>
                      <m:r>
                        <m:t>s</m:t>
                      </m:r>
                    </m:den>
                  </m:f>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s</m:t>
                      </m:r>
                      <m:r>
                        <m:t>u</m:t>
                      </m:r>
                      <m:r>
                        <m:t>b</m:t>
                      </m:r>
                      <m:r>
                        <m:t>c</m:t>
                      </m:r>
                      <m:r>
                        <m:t>o</m:t>
                      </m:r>
                      <m:r>
                        <m:t>r</m:t>
                      </m:r>
                      <m:r>
                        <m:t>p</m:t>
                      </m:r>
                      <m:r>
                        <m:t>u</m:t>
                      </m:r>
                      <m:sSub>
                        <m:e>
                          <m:r>
                            <m:t>s</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r>
                    <m:t> </m:t>
                  </m:r>
                </m:e>
              </m:d>
            </m:e>
          </m:nary>
        </m:oMath>
      </m:oMathPara>
    </w:p>
    <w:p>
      <w:pPr>
        <w:pStyle w:val="FirstParagraph"/>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(2008, p. 426)</w:t>
      </w:r>
      <w:r>
        <w:t xml:space="preserve">. This is similar to previous adjusted frequency measures such as Juillard’s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millions tokens, and preferably 50 million, in accordance with Sorell’s</w:t>
      </w:r>
      <w:r>
        <w:t xml:space="preserve"> </w:t>
      </w:r>
      <w:r>
        <w:t xml:space="preserve">(2013)</w:t>
      </w:r>
      <w:r>
        <w:t xml:space="preserve"> </w:t>
      </w:r>
      <w:r>
        <w:t xml:space="preserve">findings. As for the corpus’ text type, because the FDOSH aims to be a list based on interpersonal interactions, it is created from a homogenous</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 Frequency Dictionary of Spoken Hebrew (FDOSH)</w:t>
      </w:r>
      <w:bookmarkEnd w:id="40"/>
    </w:p>
    <w:p>
      <w:pPr>
        <w:pStyle w:val="FirstParagraph"/>
      </w:pPr>
      <w:r>
        <w:t xml:space="preserve">As we have seen, the brunt of the work in high-quality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word lists, if they exist at all. Why have not more educators—those who may benefit from these lists the most—decided to undertake such a task?</w:t>
      </w:r>
    </w:p>
    <w:p>
      <w:pPr>
        <w:pStyle w:val="BodyText"/>
      </w:pPr>
      <w:r>
        <w:t xml:space="preserve">This need not be a project that one starts from scratch every time. Many tools already exist to make the process smoother. Still, with the rapid pace at which technology changes, these tools tend to quickly become obsolete. They are also usually restrictive to the specific preferences of their creators.</w:t>
      </w:r>
    </w:p>
    <w:p>
      <w:pPr>
        <w:pStyle w:val="BodyText"/>
      </w:pPr>
      <w:r>
        <w:t xml:space="preserve">Rather than using these tools, I chose to create a series of simple scripts to create the Frequency Dictionary of Spoken Hebrew.</w:t>
      </w:r>
    </w:p>
    <w:p>
      <w:pPr>
        <w:pStyle w:val="BodyText"/>
      </w:pPr>
      <w:r>
        <w:t xml:space="preserve">The two most widely-used languages for the type of data analysis involved in a word list creation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word lists. R, on the other hand, requires a deeper familiarity with the syntax and conventions of the language in order to understand.</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in an online repository at</w:t>
      </w:r>
      <w:r>
        <w:t xml:space="preserve"> </w:t>
      </w:r>
      <w:hyperlink r:id="rId24">
        <w:r>
          <w:rPr>
            <w:rStyle w:val="Hyperlink"/>
          </w:rPr>
          <w:t xml:space="preserve">https://github.com/juandpinto/opus-frequencies</w:t>
        </w:r>
      </w:hyperlink>
      <w:r>
        <w:t xml:space="preserve">. The repository can easily be cloned, or individual files can be downloaded, for modification and use. The repository uses the version control system</w:t>
      </w:r>
      <w:r>
        <w:t xml:space="preserve"> </w:t>
      </w:r>
      <w:r>
        <w:rPr>
          <w:i/>
        </w:rPr>
        <w:t xml:space="preserve">Git</w:t>
      </w:r>
      <w:r>
        <w:t xml:space="preserve">. This means that anyone can easily look through the history of each file to see specific changes that have been made over time.</w:t>
      </w:r>
    </w:p>
    <w:p>
      <w:pPr>
        <w:pStyle w:val="BodyText"/>
      </w:pPr>
      <w:r>
        <w:t xml:space="preserve">Suggestions for improvements can also be submitted through the GitHub interface, allowing for a system of cooperation and incremental innovation among researchers. The exported Frequency Dictionary of Spoken Hebrew, in its entirety, can also be found in the repository.</w:t>
      </w:r>
    </w:p>
    <w:p>
      <w:pPr>
        <w:pStyle w:val="BodyText"/>
      </w:pPr>
      <w:r>
        <w:t xml:space="preserve">This thesis, then, beyond explaining the theory behind the creation of the FDOSH, aims to make the process as reproducible as possible. This section contributes to that aim by carefully documenting each step of the process.</w:t>
      </w:r>
    </w:p>
    <w:p>
      <w:pPr>
        <w:pStyle w:val="Heading2"/>
      </w:pPr>
      <w:bookmarkStart w:id="41" w:name="the-corpus"/>
      <w:r>
        <w:t xml:space="preserve">The corpus</w:t>
      </w:r>
      <w:bookmarkEnd w:id="41"/>
    </w:p>
    <w:p>
      <w:pPr>
        <w:pStyle w:val="FirstParagraph"/>
      </w:pPr>
      <w:r>
        <w:t xml:space="preserve">Before coding or analyzing anything, it’s important to find an appropriate corpus to use and to become familiar with its structure. A useful place to begin is</w:t>
      </w:r>
      <w:r>
        <w:t xml:space="preserve"> </w:t>
      </w:r>
      <w:hyperlink r:id="rId42">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3">
        <w:r>
          <w:rPr>
            <w:i/>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4">
        <w:r>
          <w:rPr>
            <w:rStyle w:val="Hyperlink"/>
          </w:rPr>
          <w:t xml:space="preserve">CASMACAT</w:t>
        </w:r>
      </w:hyperlink>
      <w:r>
        <w:t xml:space="preserve"> </w:t>
      </w:r>
      <w:r>
        <w:t xml:space="preserve">project and the</w:t>
      </w:r>
      <w:r>
        <w:t xml:space="preserve"> </w:t>
      </w:r>
      <w:hyperlink r:id="rId45">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46" w:name="cleansing-the-corpus"/>
      <w:r>
        <w:t xml:space="preserve">Cleansing the corpus</w:t>
      </w:r>
      <w:bookmarkEnd w:id="46"/>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cleansing is often the most laborious part of the process. However, there is one issue that must be addressed before the corpus can be used to create a word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7">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cleansing the corpus, then, entails getting rid of these duplicates. As a means of simplifying the entire process, I chose simply to use the first file in each movie folder. I’ve included the short Python script for this in its entirety in</w:t>
      </w:r>
      <w:r>
        <w:t xml:space="preserve"> </w:t>
      </w:r>
      <w:hyperlink w:anchor="appendix-b.3">
        <w:r>
          <w:rPr>
            <w:i/>
            <w:rStyle w:val="Hyperlink"/>
          </w:rPr>
          <w:t xml:space="preserve">Appendix B.3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the entire process will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48" w:name="extracting-data"/>
      <w:r>
        <w:t xml:space="preserve">Extracting data</w:t>
      </w:r>
      <w:bookmarkEnd w:id="48"/>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 As with the other code, the entire script in its entirety can be found in</w:t>
      </w:r>
      <w:r>
        <w:t xml:space="preserve"> </w:t>
      </w:r>
      <w:hyperlink w:anchor="appendix-b.1">
        <w:r>
          <w:rPr>
            <w:i/>
            <w:rStyle w:val="Hyperlink"/>
          </w:rPr>
          <w:t xml:space="preserve">Appendix B.1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9" w:name="calculations"/>
      <w:r>
        <w:t xml:space="preserve">Calculations</w:t>
      </w:r>
      <w:bookmarkEnd w:id="49"/>
    </w:p>
    <w:p>
      <w:pPr>
        <w:pStyle w:val="FirstParagraph"/>
      </w:pPr>
      <w:r>
        <w:t xml:space="preserve">For each lemma, the FDOSH includes three measures: frequency, range, and dispersion. It uses dispersion as its sorting value. Though the theoretical underpinnings of each has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Range will be addressed afterwards in the (</w:t>
      </w:r>
      <w:r>
        <w:rPr>
          <w:i/>
        </w:rPr>
        <w:t xml:space="preserve">sort and export</w:t>
      </w:r>
      <w:r>
        <w:t xml:space="preserve">)[#sort-and-export] section, since the script calculates it on the spot as the list is created.</w:t>
      </w:r>
    </w:p>
    <w:p>
      <w:pPr>
        <w:pStyle w:val="Heading3"/>
      </w:pPr>
      <w:bookmarkStart w:id="50" w:name="methods-frequency"/>
      <w:r>
        <w:t xml:space="preserve">Frequency</w:t>
      </w:r>
      <w:bookmarkEnd w:id="50"/>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51" w:name="methods-dispersion"/>
      <w:r>
        <w:t xml:space="preserve">Dispersion (</w:t>
      </w:r>
      <w:r>
        <w:rPr>
          <w:i/>
        </w:rPr>
        <w:t xml:space="preserve">U</w:t>
      </w:r>
      <w:r>
        <w:rPr>
          <w:vertAlign w:val="subscript"/>
          <w:i/>
        </w:rPr>
        <w:t xml:space="preserve">DP</w:t>
      </w:r>
      <w:r>
        <w:t xml:space="preserve">)</w:t>
      </w:r>
      <w:bookmarkEnd w:id="51"/>
    </w:p>
    <w:p>
      <w:pPr>
        <w:pStyle w:val="FirstParagraph"/>
      </w:pPr>
      <w:r>
        <w:t xml:space="preserve">Dispersion is more complicated. In theory, it should provide a single quantifiable measure that incorporates both frequency and range, and which can then be used to sort the word list. The model of dispersion I have chosen to follow for this project is a usage coefficient of Gries’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52" w:name="sort-and-export"/>
      <w:r>
        <w:t xml:space="preserve">Sort and export</w:t>
      </w:r>
      <w:bookmarkEnd w:id="52"/>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w:t>
      </w:r>
      <w:r>
        <w:t xml:space="preserve"> </w:t>
      </w:r>
      <w:r>
        <w:rPr>
          <w:i/>
        </w:rPr>
        <w:t xml:space="preserve">U</w:t>
      </w:r>
      <w:r>
        <w:rPr>
          <w:vertAlign w:val="subscript"/>
          <w:i/>
        </w:rPr>
        <w:t xml:space="preserve">DP</w:t>
      </w:r>
      <w:r>
        <w:t xml:space="preserve">. This table is already sorted by</w:t>
      </w:r>
      <w:r>
        <w:t xml:space="preserve"> </w:t>
      </w:r>
      <w:r>
        <w:rPr>
          <w:i/>
        </w:rPr>
        <w:t xml:space="preserve">U</w:t>
      </w:r>
      <w:r>
        <w:rPr>
          <w:vertAlign w:val="subscript"/>
          <w:i/>
        </w:rPr>
        <w:t xml:space="preserve">DP</w:t>
      </w:r>
      <w:r>
        <w:t xml:space="preserve"> </w:t>
      </w:r>
      <w:r>
        <w:t xml:space="preserve">as it’s being created.</w:t>
      </w:r>
    </w:p>
    <w:p>
      <w:pPr>
        <w:pStyle w:val="BodyText"/>
      </w:pPr>
      <w:r>
        <w:t xml:space="preserve">Because the script has not calculated range by this point, it must do so on the spot as it’s entering each lemma into the table. It does this with a simple dictionary comprehension that quickly counts the number of files included in the</w:t>
      </w:r>
      <w:r>
        <w:t xml:space="preserve"> </w:t>
      </w:r>
      <w:r>
        <w:rPr>
          <w:rStyle w:val="VerbatimChar"/>
        </w:rPr>
        <w:t xml:space="preserve">lemma_by_file_dict</w:t>
      </w:r>
      <w:r>
        <w:t xml:space="preserve">. 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table_list.append((k,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Lastly, now that everything is organized into a table, the script opens (or creates, if it doesn’t yet exist) 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list is now complete. The next section will explore the list itself more in-depth.</w:t>
      </w:r>
    </w:p>
    <w:p>
      <w:pPr>
        <w:pStyle w:val="Heading1"/>
      </w:pPr>
      <w:bookmarkStart w:id="53" w:name="the-fdosh-a-vocabulary-list-of-conversational-modern-hebrew"/>
      <w:r>
        <w:t xml:space="preserve">The FDOSH: A vocabulary list of conversational Modern Hebrew</w:t>
      </w:r>
      <w:bookmarkEnd w:id="53"/>
    </w:p>
    <w:p>
      <w:pPr>
        <w:pStyle w:val="FirstParagraph"/>
      </w:pPr>
      <w:r>
        <w:t xml:space="preserve">The Frequency Dictionary of Spoken Hebrew in its entirety can be found as an electronic supplement to this thesis (in CSV format) or at the following GitHub repository:</w:t>
      </w:r>
      <w:r>
        <w:t xml:space="preserve"> </w:t>
      </w:r>
      <w:hyperlink r:id="rId24">
        <w:r>
          <w:rPr>
            <w:rStyle w:val="Hyperlink"/>
            <w:i/>
          </w:rPr>
          <w:t xml:space="preserve">https://github.com/juandpinto/opus-frequencies</w:t>
        </w:r>
      </w:hyperlink>
      <w:r>
        <w:t xml:space="preserve">. It contains the most common 5,000 lemmas of conversation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items is here presented.</w:t>
      </w:r>
    </w:p>
    <w:p>
      <w:pPr>
        <w:pStyle w:val="TableCaption"/>
      </w:pPr>
      <w:r>
        <w:t xml:space="preserve">Sample of the first 30 items on the FDOSH.</w:t>
      </w:r>
    </w:p>
    <w:tbl>
      <w:tblPr>
        <w:tblStyle w:val="Table"/>
        <w:tblW w:type="pct" w:w="0.0"/>
        <w:tblLook w:firstRow="1"/>
        <w:tblCaption w:val="Sample of the first 30 item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w:t>
      </w:r>
      <w:r>
        <w:t xml:space="preserve"> </w:t>
      </w:r>
      <w:r>
        <w:rPr>
          <w:i/>
        </w:rPr>
        <w:t xml:space="preserve">U</w:t>
      </w:r>
      <w:r>
        <w:rPr>
          <w:vertAlign w:val="subscript"/>
          <w:i/>
        </w:rPr>
        <w:t xml:space="preserve">DP</w:t>
      </w:r>
      <w:r>
        <w:t xml:space="preserve">.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 The range is the number of sub-corpora—or in this case, movies—the lemma appears in.</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items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items.</w:t>
      </w:r>
    </w:p>
    <w:p>
      <w:pPr>
        <w:pStyle w:val="BodyText"/>
      </w:pPr>
      <w:r>
        <w:t xml:space="preserve">For example, the sum of the frequencies of the first 20 lemmas in</w:t>
      </w:r>
      <w:r>
        <w:t xml:space="preserve"> </w:t>
      </w:r>
      <w:r>
        <w:rPr>
          <w:i/>
        </w:rPr>
        <w:t xml:space="preserve">Table</w:t>
      </w:r>
      <w:r>
        <w:rPr>
          <w:i/>
        </w:rPr>
        <w:t xml:space="preserve"> </w:t>
      </w:r>
      <w:r>
        <w:t xml:space="preserve"> </w:t>
      </w:r>
      <w:r>
        <w:t xml:space="preserve">(84,656,819) divided by the total size of the corpus (193,755,220) is 0.436926649. In theory, this means that by knowing just the first 20 lemmas on the FDOSH one would be able to understand 43.7% of the words in the entire OpenSubtitles2018 corpus! That is a clear example of the power of Zipf’s Law (see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FDOSH consists of 5,000 lemmas. This number was chosen in order for it to include the required items for 90% coverage, while also making it an even factor of 1,000. In its entirety, the FDOSH covers 90.8% of the corpus from which it is created.</w:t>
      </w:r>
    </w:p>
    <w:p>
      <w:pPr>
        <w:pStyle w:val="Heading2"/>
      </w:pPr>
      <w:bookmarkStart w:id="54" w:name="challenges-and-future-direction"/>
      <w:r>
        <w:t xml:space="preserve">Challenges and future direction</w:t>
      </w:r>
      <w:bookmarkEnd w:id="54"/>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simple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55" w:name="methodological-challenges"/>
      <w:r>
        <w:t xml:space="preserve">Methodological challenges</w:t>
      </w:r>
      <w:bookmarkEnd w:id="55"/>
    </w:p>
    <w:p>
      <w:pPr>
        <w:pStyle w:val="FirstParagraph"/>
      </w:pPr>
      <w:r>
        <w:t xml:space="preserve">One of the more obvious issues of this project is the use of a corpus of movie subtitles as substitute for a corpus of true conversational language. This issue in a way forms the backbone of the FDOSH,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56" w:name="ideal-vs.practical-corpora"/>
      <w:r>
        <w:t xml:space="preserve">Ideal vs. practical corpora</w:t>
      </w:r>
      <w:bookmarkEnd w:id="56"/>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57">
        <w:r>
          <w:rPr>
            <w:rStyle w:val="Hyperlink"/>
            <w:i/>
          </w:rPr>
          <w:t xml:space="preserve">http://opensubtitles.com</w:t>
        </w:r>
      </w:hyperlink>
      <w:r>
        <w:t xml:space="preserve"> </w:t>
      </w:r>
      <w:r>
        <w:t xml:space="preserve">and</w:t>
      </w:r>
      <w:r>
        <w:t xml:space="preserve"> </w:t>
      </w:r>
      <w:hyperlink r:id="rId42">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58">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w:t>
      </w:r>
      <w:hyperlink r:id="rId58">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word list.</w:t>
      </w:r>
    </w:p>
    <w:p>
      <w:pPr>
        <w:pStyle w:val="BodyText"/>
      </w:pPr>
      <w:r>
        <w:t xml:space="preserve">Are movie and television subtitles an suitable substitute for spontaneous, spoken language? Early studies suggest it is at least adequate, but much more research is needed to answer this question definitively. For now, it remains as a practical and appealing option.</w:t>
      </w:r>
    </w:p>
    <w:p>
      <w:pPr>
        <w:pStyle w:val="Heading4"/>
      </w:pPr>
      <w:bookmarkStart w:id="59" w:name="using-original-language-movies-exclusively"/>
      <w:r>
        <w:t xml:space="preserve">Using original-language movies exclusively</w:t>
      </w:r>
      <w:bookmarkEnd w:id="59"/>
    </w:p>
    <w:p>
      <w:pPr>
        <w:pStyle w:val="FirstParagraph"/>
      </w:pPr>
      <w:r>
        <w:t xml:space="preserve">One of the potential downsides of using the OpenSubtitles2018 corpus not yet discussed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In either case,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should contain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0">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1">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w:anchor="appendix-b.2">
        <w:r>
          <w:rPr>
            <w:rStyle w:val="Hyperlink"/>
          </w:rPr>
          <w:t xml:space="preserve">Appendix B.2</w:t>
        </w:r>
      </w:hyperlink>
      <w:r>
        <w:t xml:space="preserve">. It uses an imported Python wrapper for the API, written by</w:t>
      </w:r>
      <w:r>
        <w:t xml:space="preserve"> </w:t>
      </w:r>
      <w:hyperlink r:id="rId62">
        <w:r>
          <w:rPr>
            <w:rStyle w:val="Hyperlink"/>
          </w:rPr>
          <w:t xml:space="preserve">Derrick Gilland</w:t>
        </w:r>
      </w:hyperlink>
      <w:r>
        <w:t xml:space="preserve">, which can be found at</w:t>
      </w:r>
      <w:r>
        <w:t xml:space="preserve"> </w:t>
      </w:r>
      <w:hyperlink r:id="rId63">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61">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4">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 which can be found in</w:t>
      </w:r>
      <w:r>
        <w:t xml:space="preserve"> </w:t>
      </w:r>
      <w:hyperlink w:anchor="appendix-b.1">
        <w:r>
          <w:rPr>
            <w:rStyle w:val="Hyperlink"/>
          </w:rPr>
          <w:t xml:space="preserve">*appendix b.1</w:t>
        </w:r>
      </w:hyperlink>
      <w:r>
        <w:t xml:space="preserve">.</w:t>
      </w:r>
    </w:p>
    <w:p>
      <w:pPr>
        <w:pStyle w:val="BodyText"/>
      </w:pPr>
      <w:r>
        <w:t xml:space="preserve">In the end, however, I found that the total token count for this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I have explained how to use the scripts for this purpose so that they can be used for language that have sufficient original subtitles. The</w:t>
      </w:r>
      <w:r>
        <w:t xml:space="preserve"> </w:t>
      </w:r>
      <w:r>
        <w:rPr>
          <w:i/>
        </w:rPr>
        <w:t xml:space="preserve">Frequency Dictionary of Spoken Hebrew</w:t>
      </w:r>
      <w:r>
        <w:t xml:space="preserve">, however, is created using the entire corpus.</w:t>
      </w:r>
    </w:p>
    <w:p>
      <w:pPr>
        <w:pStyle w:val="Heading3"/>
      </w:pPr>
      <w:bookmarkStart w:id="65" w:name="functional-challenges"/>
      <w:r>
        <w:t xml:space="preserve">Functional challenges</w:t>
      </w:r>
      <w:bookmarkEnd w:id="65"/>
    </w:p>
    <w:p>
      <w:pPr>
        <w:pStyle w:val="FirstParagraph"/>
      </w:pPr>
      <w:r>
        <w:t xml:space="preserve">A quick scan of the FDOSH reveals some notable items.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spoken dialogue (in many languages),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(item 19) and</w:t>
      </w:r>
      <w:r>
        <w:t xml:space="preserve"> </w:t>
      </w:r>
      <w:r>
        <w:t xml:space="preserve">“</w:t>
      </w:r>
      <w:r>
        <w:t xml:space="preserve">דיבר</w:t>
      </w:r>
      <w:r>
        <w:t xml:space="preserve">”</w:t>
      </w:r>
      <w:r>
        <w:t xml:space="preserve"> </w:t>
      </w:r>
      <w:r>
        <w:t xml:space="preserve">(item 60).</w:t>
      </w:r>
    </w:p>
    <w:p>
      <w:pPr>
        <w:pStyle w:val="BodyText"/>
      </w:pPr>
      <w:r>
        <w:t xml:space="preserve">Many of the most common lemmas on the FDOSH are prepositions. Note that even inseparable prepositions, such as -ה and -ב are considered independent lemmas by the parser, and are listed respectively as the lemmas</w:t>
      </w:r>
      <w:r>
        <w:t xml:space="preserve"> </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66" w:name="textual-ambiguity-of-hebrew-orthography"/>
      <w:r>
        <w:t xml:space="preserve">Textual ambiguity of Hebrew orthography</w:t>
      </w:r>
      <w:bookmarkEnd w:id="66"/>
    </w:p>
    <w:p>
      <w:pPr>
        <w:pStyle w:val="FirstParagraph"/>
      </w:pPr>
      <w:r>
        <w:t xml:space="preserve">The flexible spelling conventions of Hebrew are at the root of many of the problems with the FDOSH.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(item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(item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(item 1184),</w:t>
      </w:r>
      <w:r>
        <w:t xml:space="preserve"> </w:t>
      </w:r>
      <w:r>
        <w:t xml:space="preserve">“</w:t>
      </w:r>
      <w:r>
        <w:t xml:space="preserve">שדיבר</w:t>
      </w:r>
      <w:r>
        <w:t xml:space="preserve">”</w:t>
      </w:r>
      <w:r>
        <w:t xml:space="preserve"> </w:t>
      </w:r>
      <w:r>
        <w:t xml:space="preserve">(item 2588), and</w:t>
      </w:r>
      <w:r>
        <w:t xml:space="preserve"> </w:t>
      </w:r>
      <w:r>
        <w:t xml:space="preserve">“</w:t>
      </w:r>
      <w:r>
        <w:t xml:space="preserve">שדיברה</w:t>
      </w:r>
      <w:r>
        <w:t xml:space="preserve">”</w:t>
      </w:r>
      <w:r>
        <w:t xml:space="preserve"> </w:t>
      </w:r>
      <w:r>
        <w:t xml:space="preserve">(item 4106). Based on their context</w:t>
      </w:r>
      <w:r>
        <w:t xml:space="preserve">, these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67" w:name="automatic-parsing"/>
      <w:r>
        <w:t xml:space="preserve">Automatic parsing</w:t>
      </w:r>
      <w:bookmarkEnd w:id="67"/>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intelligences such as Siri or Alexa. For our purposes, a parsed text is important in order to use lemmas as the word family level for the FDOSH. This decision is discussed under</w:t>
      </w:r>
      <w:r>
        <w:t xml:space="preserve"> </w:t>
      </w:r>
      <w:hyperlink w:anchor="identifying-words-word-family-levels">
        <w:r>
          <w:rPr>
            <w:i/>
            <w:rStyle w:val="Hyperlink"/>
          </w:rPr>
          <w:t xml:space="preserve">Identifying Words</w:t>
        </w:r>
      </w:hyperlink>
      <w:r>
        <w:t xml:space="preserve"> </w:t>
      </w:r>
      <w:r>
        <w:t xml:space="preserve">in this thesis.</w:t>
      </w:r>
    </w:p>
    <w:p>
      <w:pPr>
        <w:pStyle w:val="BodyText"/>
      </w:pPr>
      <w:r>
        <w:t xml:space="preserve">Two distinct types of syntactic parsers exist, contituency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as 95% or higher accuracy, including for some Hebrew parsers.</w:t>
      </w:r>
      <w:r>
        <w:t xml:space="preserve"> </w:t>
      </w:r>
      <w:r>
        <w:t xml:space="preserve">When dealing with such a large corpus, such as the Hebrew</w:t>
      </w:r>
      <w:r>
        <w:t xml:space="preserve"> </w:t>
      </w:r>
      <w:r>
        <w:rPr>
          <w:i/>
        </w:rPr>
        <w:t xml:space="preserve">OpenSubtitles2018</w:t>
      </w:r>
      <w:r>
        <w:t xml:space="preserve"> </w:t>
      </w:r>
      <w:r>
        <w:t xml:space="preserve">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FDOSH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lemmaticized, which is nearly impossible for such large corpora. The tools and techniques outlined in this thesis do not directly deal with the process of parsing.</w:t>
      </w:r>
    </w:p>
    <w:p>
      <w:pPr>
        <w:pStyle w:val="Heading1"/>
      </w:pPr>
      <w:bookmarkStart w:id="68" w:name="conclusion"/>
      <w:r>
        <w:t xml:space="preserve">Conclusion</w:t>
      </w:r>
      <w:bookmarkEnd w:id="68"/>
    </w:p>
    <w:p>
      <w:pPr>
        <w:pStyle w:val="Heading1"/>
      </w:pPr>
      <w:bookmarkStart w:id="69" w:name="appendix-a"/>
      <w:r>
        <w:t xml:space="preserve">Appendix A: Frequency Dictionary of Spoken Hebrew (FDOSH)</w:t>
      </w:r>
      <w:bookmarkEnd w:id="69"/>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0" w:name="appendix-b"/>
      <w:r>
        <w:t xml:space="preserve">Appendix B: Scripts</w:t>
      </w:r>
      <w:bookmarkEnd w:id="70"/>
    </w:p>
    <w:p>
      <w:pPr>
        <w:pStyle w:val="Heading2"/>
      </w:pPr>
      <w:bookmarkStart w:id="71" w:name="appendix-b.1"/>
      <w:r>
        <w:t xml:space="preserve">Appendix B.1: create-freq-list.py</w:t>
      </w:r>
      <w:bookmarkEnd w:id="71"/>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by which to measure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table_list.append((k,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72" w:name="appendix-b.2"/>
      <w:r>
        <w:t xml:space="preserve">Appendix B.2: OMDb-fetch.py</w:t>
      </w:r>
      <w:bookmarkEnd w:id="72"/>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3" w:name="appendix-b.3"/>
      <w:r>
        <w:t xml:space="preserve">Appendix B.3: single_file_extract.py</w:t>
      </w:r>
      <w:bookmarkEnd w:id="73"/>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74" w:name="references"/>
      <w:r>
        <w:t xml:space="preserve">References</w:t>
      </w:r>
      <w:bookmarkEnd w:id="74"/>
    </w:p>
    <w:bookmarkStart w:id="239" w:name="refs"/>
    <w:bookmarkStart w:id="76"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75">
        <w:r>
          <w:rPr>
            <w:rStyle w:val="Hyperlink"/>
          </w:rPr>
          <w:t xml:space="preserve">https://doi.org/10.1111/j.1467-9280.2006.01787.x</w:t>
        </w:r>
      </w:hyperlink>
    </w:p>
    <w:bookmarkEnd w:id="76"/>
    <w:bookmarkStart w:id="78"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77">
        <w:r>
          <w:rPr>
            <w:rStyle w:val="Hyperlink"/>
          </w:rPr>
          <w:t xml:space="preserve">https://doi.org/10.1007/s10579-012-9214-z</w:t>
        </w:r>
      </w:hyperlink>
    </w:p>
    <w:bookmarkEnd w:id="78"/>
    <w:bookmarkStart w:id="80"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79">
        <w:r>
          <w:rPr>
            <w:rStyle w:val="Hyperlink"/>
          </w:rPr>
          <w:t xml:space="preserve">https://doi.org/10.3366/corp.2012.0022</w:t>
        </w:r>
      </w:hyperlink>
    </w:p>
    <w:bookmarkEnd w:id="80"/>
    <w:bookmarkStart w:id="81"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1"/>
    <w:bookmarkStart w:id="83"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2">
        <w:r>
          <w:rPr>
            <w:rStyle w:val="Hyperlink"/>
          </w:rPr>
          <w:t xml:space="preserve">https://doi.org/10.2307/1166112</w:t>
        </w:r>
      </w:hyperlink>
    </w:p>
    <w:bookmarkEnd w:id="83"/>
    <w:bookmarkStart w:id="84"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84"/>
    <w:bookmarkStart w:id="85"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85"/>
    <w:bookmarkStart w:id="87"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86">
        <w:r>
          <w:rPr>
            <w:rStyle w:val="Hyperlink"/>
          </w:rPr>
          <w:t xml:space="preserve">https://doi.org/10.1093/ijl/6.4.253</w:t>
        </w:r>
      </w:hyperlink>
    </w:p>
    <w:bookmarkEnd w:id="87"/>
    <w:bookmarkStart w:id="88"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88"/>
    <w:bookmarkStart w:id="90"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89">
        <w:r>
          <w:rPr>
            <w:rStyle w:val="Hyperlink"/>
          </w:rPr>
          <w:t xml:space="preserve">https://doi.org/10.1093/llc/8.4.243</w:t>
        </w:r>
      </w:hyperlink>
    </w:p>
    <w:bookmarkEnd w:id="90"/>
    <w:bookmarkStart w:id="91"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1"/>
    <w:bookmarkStart w:id="92"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2"/>
    <w:bookmarkStart w:id="93"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93"/>
    <w:bookmarkStart w:id="95"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94">
        <w:r>
          <w:rPr>
            <w:rStyle w:val="Hyperlink"/>
          </w:rPr>
          <w:t xml:space="preserve">https://doi.org/10.1093/applin/amt018</w:t>
        </w:r>
      </w:hyperlink>
    </w:p>
    <w:bookmarkEnd w:id="95"/>
    <w:bookmarkStart w:id="96"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96"/>
    <w:bookmarkStart w:id="98"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97">
        <w:r>
          <w:rPr>
            <w:rStyle w:val="Hyperlink"/>
          </w:rPr>
          <w:t xml:space="preserve">https://doi.org/10.3758/BRM.41.4.977</w:t>
        </w:r>
      </w:hyperlink>
    </w:p>
    <w:bookmarkEnd w:id="98"/>
    <w:bookmarkStart w:id="99"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99"/>
    <w:bookmarkStart w:id="100"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0"/>
    <w:bookmarkStart w:id="101"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1"/>
    <w:bookmarkStart w:id="103"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02">
        <w:r>
          <w:rPr>
            <w:rStyle w:val="Hyperlink"/>
          </w:rPr>
          <w:t xml:space="preserve">https://doi.org/10.1016/j.system.2003.11.008</w:t>
        </w:r>
      </w:hyperlink>
    </w:p>
    <w:bookmarkEnd w:id="103"/>
    <w:bookmarkStart w:id="104" w:name="ref-CollinsCobuildEnglish2005"/>
    <w:p>
      <w:pPr>
        <w:pStyle w:val="Bibliography"/>
      </w:pPr>
      <w:r>
        <w:rPr>
          <w:i/>
        </w:rPr>
        <w:t xml:space="preserve">Collins Cobuild English grammar</w:t>
      </w:r>
      <w:r>
        <w:t xml:space="preserve">. (2005). Glasgow: HarperCollins.</w:t>
      </w:r>
    </w:p>
    <w:bookmarkEnd w:id="104"/>
    <w:bookmarkStart w:id="105"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05"/>
    <w:bookmarkStart w:id="107"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06">
        <w:r>
          <w:rPr>
            <w:rStyle w:val="Hyperlink"/>
          </w:rPr>
          <w:t xml:space="preserve">https://doi.org/10.2307/3587951</w:t>
        </w:r>
      </w:hyperlink>
    </w:p>
    <w:bookmarkEnd w:id="107"/>
    <w:bookmarkStart w:id="109"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08">
        <w:r>
          <w:rPr>
            <w:rStyle w:val="Hyperlink"/>
          </w:rPr>
          <w:t xml:space="preserve">https://doi.org/10.1002/tesq.287</w:t>
        </w:r>
      </w:hyperlink>
    </w:p>
    <w:bookmarkEnd w:id="109"/>
    <w:bookmarkStart w:id="111"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0">
        <w:r>
          <w:rPr>
            <w:rStyle w:val="Hyperlink"/>
          </w:rPr>
          <w:t xml:space="preserve">https://doi.org/10.1075/itl.167.2.02dan</w:t>
        </w:r>
      </w:hyperlink>
    </w:p>
    <w:bookmarkEnd w:id="111"/>
    <w:bookmarkStart w:id="112"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12"/>
    <w:bookmarkStart w:id="113"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13"/>
    <w:bookmarkStart w:id="115"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14">
        <w:r>
          <w:rPr>
            <w:rStyle w:val="Hyperlink"/>
          </w:rPr>
          <w:t xml:space="preserve">https://doi.org/10.2307/1932409</w:t>
        </w:r>
      </w:hyperlink>
    </w:p>
    <w:bookmarkEnd w:id="115"/>
    <w:bookmarkStart w:id="116"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16"/>
    <w:bookmarkStart w:id="118"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17">
        <w:r>
          <w:rPr>
            <w:rStyle w:val="Hyperlink"/>
          </w:rPr>
          <w:t xml:space="preserve">https://doi.org/10.1017/S0272263102002024</w:t>
        </w:r>
      </w:hyperlink>
    </w:p>
    <w:bookmarkEnd w:id="118"/>
    <w:bookmarkStart w:id="120"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19">
        <w:r>
          <w:rPr>
            <w:rStyle w:val="Hyperlink"/>
          </w:rPr>
          <w:t xml:space="preserve">https://doi.org/10.1017.S0272263102002140</w:t>
        </w:r>
      </w:hyperlink>
    </w:p>
    <w:bookmarkEnd w:id="120"/>
    <w:bookmarkStart w:id="122"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1">
        <w:r>
          <w:rPr>
            <w:rStyle w:val="Hyperlink"/>
          </w:rPr>
          <w:t xml:space="preserve">https://doi.org/10.1016/S0022-5371(73)80042-8</w:t>
        </w:r>
      </w:hyperlink>
    </w:p>
    <w:bookmarkEnd w:id="122"/>
    <w:bookmarkStart w:id="123"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23"/>
    <w:bookmarkStart w:id="124"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24"/>
    <w:bookmarkStart w:id="126"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25">
        <w:r>
          <w:rPr>
            <w:rStyle w:val="Hyperlink"/>
          </w:rPr>
          <w:t xml:space="preserve">https://doi.org/10.1093/applin/amm010</w:t>
        </w:r>
      </w:hyperlink>
    </w:p>
    <w:bookmarkEnd w:id="126"/>
    <w:bookmarkStart w:id="127"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27"/>
    <w:bookmarkStart w:id="129"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28">
        <w:r>
          <w:rPr>
            <w:rStyle w:val="Hyperlink"/>
          </w:rPr>
          <w:t xml:space="preserve">https://doi.org/10.1515/CLLT.2009.001</w:t>
        </w:r>
      </w:hyperlink>
    </w:p>
    <w:bookmarkEnd w:id="129"/>
    <w:bookmarkStart w:id="130"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0"/>
    <w:bookmarkStart w:id="131"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1"/>
    <w:bookmarkStart w:id="132"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32"/>
    <w:bookmarkStart w:id="133" w:name="ref-GoldbergTwoSyntacticParsers"/>
    <w:p>
      <w:pPr>
        <w:pStyle w:val="Bibliography"/>
      </w:pPr>
      <w:r>
        <w:t xml:space="preserve">Goldberg, Y., &amp; Elhadad, M. (n.d.). Two Syntactic Parsers for Modern Hebrew and a large automatically parsed corpus.</w:t>
      </w:r>
    </w:p>
    <w:bookmarkEnd w:id="133"/>
    <w:bookmarkStart w:id="135"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34">
        <w:r>
          <w:rPr>
            <w:rStyle w:val="Hyperlink"/>
          </w:rPr>
          <w:t xml:space="preserve">https://doi.org/10.1007/s10579-013-9256-x</w:t>
        </w:r>
      </w:hyperlink>
    </w:p>
    <w:bookmarkEnd w:id="135"/>
    <w:bookmarkStart w:id="137"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36">
        <w:r>
          <w:rPr>
            <w:rStyle w:val="Hyperlink"/>
          </w:rPr>
          <w:t xml:space="preserve">https://doi.org/10.1075/ijcl.13.4.02gri</w:t>
        </w:r>
      </w:hyperlink>
    </w:p>
    <w:bookmarkEnd w:id="137"/>
    <w:bookmarkStart w:id="138"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38"/>
    <w:bookmarkStart w:id="139"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39"/>
    <w:bookmarkStart w:id="140"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0"/>
    <w:bookmarkStart w:id="141"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1"/>
    <w:bookmarkStart w:id="142" w:name="ref-HlavacovaNewapproachfrequency2006"/>
    <w:p>
      <w:pPr>
        <w:pStyle w:val="Bibliography"/>
      </w:pPr>
      <w:r>
        <w:t xml:space="preserve">Hlaváčová, J. (2006). New approach to frequency dictionaries: Czech example. In (p. 6). Genoa.</w:t>
      </w:r>
    </w:p>
    <w:bookmarkEnd w:id="142"/>
    <w:bookmarkStart w:id="143" w:name="ref-Hoekroleexpectednessimplicitation2015"/>
    <w:p>
      <w:pPr>
        <w:pStyle w:val="Bibliography"/>
      </w:pPr>
      <w:r>
        <w:t xml:space="preserve">Hoek, J., Evers-Vermeul, J., &amp; Sanders, T. (2015). The role of expectedness in the implicitation and explicitation of discourse relations.</w:t>
      </w:r>
    </w:p>
    <w:bookmarkEnd w:id="143"/>
    <w:bookmarkStart w:id="144"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44"/>
    <w:bookmarkStart w:id="145" w:name="ref-ItaiCorpusBasedMorphological2003"/>
    <w:p>
      <w:pPr>
        <w:pStyle w:val="Bibliography"/>
      </w:pPr>
      <w:r>
        <w:t xml:space="preserve">Itai, A., &amp; Segal, E. (2003). A Corpus Based Morphological Analyzer for Unvocalized Modern Hebrew.</w:t>
      </w:r>
    </w:p>
    <w:bookmarkEnd w:id="145"/>
    <w:bookmarkStart w:id="147"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46">
        <w:r>
          <w:rPr>
            <w:rStyle w:val="Hyperlink"/>
          </w:rPr>
          <w:t xml:space="preserve">https://doi.org/10.1007/1-4020-7911-7_6</w:t>
        </w:r>
      </w:hyperlink>
    </w:p>
    <w:bookmarkEnd w:id="147"/>
    <w:bookmarkStart w:id="148"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48"/>
    <w:bookmarkStart w:id="150"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49">
        <w:r>
          <w:rPr>
            <w:rStyle w:val="Hyperlink"/>
          </w:rPr>
          <w:t xml:space="preserve">https://doi.org/10.1075/ijcl.6.2.01izr</w:t>
        </w:r>
      </w:hyperlink>
    </w:p>
    <w:bookmarkEnd w:id="150"/>
    <w:bookmarkStart w:id="151"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51"/>
    <w:bookmarkStart w:id="152"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52"/>
    <w:bookmarkStart w:id="154"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53">
        <w:r>
          <w:rPr>
            <w:rStyle w:val="Hyperlink"/>
          </w:rPr>
          <w:t xml:space="preserve">https://doi.org/10.1111/j.1540-4781.2011.01179.x</w:t>
        </w:r>
      </w:hyperlink>
    </w:p>
    <w:bookmarkEnd w:id="154"/>
    <w:bookmarkStart w:id="155"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55"/>
    <w:bookmarkStart w:id="156"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56"/>
    <w:bookmarkStart w:id="157"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57"/>
    <w:bookmarkStart w:id="159"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58">
        <w:r>
          <w:rPr>
            <w:rStyle w:val="Hyperlink"/>
          </w:rPr>
          <w:t xml:space="preserve">https://doi.org/10.1177/0033688212440637</w:t>
        </w:r>
      </w:hyperlink>
    </w:p>
    <w:bookmarkEnd w:id="159"/>
    <w:bookmarkStart w:id="160"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0"/>
    <w:bookmarkStart w:id="161"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61"/>
    <w:bookmarkStart w:id="163"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62">
        <w:r>
          <w:rPr>
            <w:rStyle w:val="Hyperlink"/>
          </w:rPr>
          <w:t xml:space="preserve">https://doi.org/10.1075/ijcl.17.1.08lij</w:t>
        </w:r>
      </w:hyperlink>
    </w:p>
    <w:bookmarkEnd w:id="163"/>
    <w:bookmarkStart w:id="164"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64"/>
    <w:bookmarkStart w:id="165"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65"/>
    <w:bookmarkStart w:id="166" w:name="ref-MatsushitaWhatOrderShould2012"/>
    <w:p>
      <w:pPr>
        <w:pStyle w:val="Bibliography"/>
      </w:pPr>
      <w:r>
        <w:t xml:space="preserve">Matsushita, T. (2012). In What Order Should Learners Learn Japanese Vocabulary? A Corpus-based Approach.</w:t>
      </w:r>
    </w:p>
    <w:bookmarkEnd w:id="166"/>
    <w:bookmarkStart w:id="167"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67"/>
    <w:bookmarkStart w:id="168"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68"/>
    <w:bookmarkStart w:id="169"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69"/>
    <w:bookmarkStart w:id="171"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0">
        <w:r>
          <w:rPr>
            <w:rStyle w:val="Hyperlink"/>
          </w:rPr>
          <w:t xml:space="preserve">https://doi.org/10.1016/S0346-251X(00)00013-0</w:t>
        </w:r>
      </w:hyperlink>
    </w:p>
    <w:bookmarkEnd w:id="171"/>
    <w:bookmarkStart w:id="173"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72">
        <w:r>
          <w:rPr>
            <w:rStyle w:val="Hyperlink"/>
          </w:rPr>
          <w:t xml:space="preserve">https://doi.org/10.2307/747770</w:t>
        </w:r>
      </w:hyperlink>
    </w:p>
    <w:bookmarkEnd w:id="173"/>
    <w:bookmarkStart w:id="174"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74"/>
    <w:bookmarkStart w:id="176"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75">
        <w:r>
          <w:rPr>
            <w:rStyle w:val="Hyperlink"/>
          </w:rPr>
          <w:t xml:space="preserve">https://doi.org/10.1177/003368828201300102</w:t>
        </w:r>
      </w:hyperlink>
    </w:p>
    <w:bookmarkEnd w:id="176"/>
    <w:bookmarkStart w:id="177"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77"/>
    <w:bookmarkStart w:id="179"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78">
        <w:r>
          <w:rPr>
            <w:rStyle w:val="Hyperlink"/>
          </w:rPr>
          <w:t xml:space="preserve">https://doi.org/10.1075/z.208</w:t>
        </w:r>
      </w:hyperlink>
    </w:p>
    <w:bookmarkEnd w:id="179"/>
    <w:bookmarkStart w:id="180"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0"/>
    <w:bookmarkStart w:id="181"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81"/>
    <w:bookmarkStart w:id="182"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82"/>
    <w:bookmarkStart w:id="184"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83">
        <w:r>
          <w:rPr>
            <w:rStyle w:val="Hyperlink"/>
          </w:rPr>
          <w:t xml:space="preserve">https://doi.org/10.1002/j.1949-3533.2000.tb00239.x</w:t>
        </w:r>
      </w:hyperlink>
    </w:p>
    <w:bookmarkEnd w:id="184"/>
    <w:bookmarkStart w:id="186"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85">
        <w:r>
          <w:rPr>
            <w:rStyle w:val="Hyperlink"/>
          </w:rPr>
          <w:t xml:space="preserve">https://doi.org/10.1075/lllt.10.03nat</w:t>
        </w:r>
      </w:hyperlink>
    </w:p>
    <w:bookmarkEnd w:id="186"/>
    <w:bookmarkStart w:id="188"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87">
        <w:r>
          <w:rPr>
            <w:rStyle w:val="Hyperlink"/>
          </w:rPr>
          <w:t xml:space="preserve">https://doi.org/10.1017/S0261444814000111</w:t>
        </w:r>
      </w:hyperlink>
    </w:p>
    <w:bookmarkEnd w:id="188"/>
    <w:bookmarkStart w:id="190"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89">
        <w:r>
          <w:rPr>
            <w:rStyle w:val="Hyperlink"/>
          </w:rPr>
          <w:t xml:space="preserve">https://doi.org/10.1016/0346-251X(94)00050-G</w:t>
        </w:r>
      </w:hyperlink>
    </w:p>
    <w:bookmarkEnd w:id="190"/>
    <w:bookmarkStart w:id="192"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91">
        <w:r>
          <w:rPr>
            <w:rStyle w:val="Hyperlink"/>
          </w:rPr>
          <w:t xml:space="preserve">https://doi.org/10.1017/S014271640707035X</w:t>
        </w:r>
      </w:hyperlink>
    </w:p>
    <w:bookmarkEnd w:id="192"/>
    <w:bookmarkStart w:id="194"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193">
        <w:r>
          <w:rPr>
            <w:rStyle w:val="Hyperlink"/>
          </w:rPr>
          <w:t xml:space="preserve">https://doi.org/10.1080/17470216508416445</w:t>
        </w:r>
      </w:hyperlink>
    </w:p>
    <w:bookmarkEnd w:id="194"/>
    <w:bookmarkStart w:id="195"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195"/>
    <w:bookmarkStart w:id="196"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196"/>
    <w:bookmarkStart w:id="198"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197">
        <w:r>
          <w:rPr>
            <w:rStyle w:val="Hyperlink"/>
          </w:rPr>
          <w:t xml:space="preserve">https://doi.org/10.1177/003368828801900202</w:t>
        </w:r>
      </w:hyperlink>
    </w:p>
    <w:bookmarkEnd w:id="198"/>
    <w:bookmarkStart w:id="200"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199">
        <w:r>
          <w:rPr>
            <w:rStyle w:val="Hyperlink"/>
          </w:rPr>
          <w:t xml:space="preserve">https://doi.org/10.15446/profile.v17n1.43957</w:t>
        </w:r>
      </w:hyperlink>
    </w:p>
    <w:bookmarkEnd w:id="200"/>
    <w:bookmarkStart w:id="201"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01"/>
    <w:bookmarkStart w:id="202"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02"/>
    <w:bookmarkStart w:id="204"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03">
        <w:r>
          <w:rPr>
            <w:rStyle w:val="Hyperlink"/>
          </w:rPr>
          <w:t xml:space="preserve">https://doi.org/10.1076/jqul.9.3.215.14124</w:t>
        </w:r>
      </w:hyperlink>
    </w:p>
    <w:bookmarkEnd w:id="204"/>
    <w:bookmarkStart w:id="205"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05"/>
    <w:bookmarkStart w:id="207"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06">
        <w:r>
          <w:rPr>
            <w:rStyle w:val="Hyperlink"/>
          </w:rPr>
          <w:t xml:space="preserve">https://doi.org/10.2307/41262309?ref=no-x-route:cb78a69b6dc8bf1478b58d47243b1248</w:t>
        </w:r>
      </w:hyperlink>
    </w:p>
    <w:bookmarkEnd w:id="207"/>
    <w:bookmarkStart w:id="208"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08"/>
    <w:bookmarkStart w:id="210"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09">
        <w:r>
          <w:rPr>
            <w:rStyle w:val="Hyperlink"/>
          </w:rPr>
          <w:t xml:space="preserve">https://doi.org/10.1017/S0261444812000018</w:t>
        </w:r>
      </w:hyperlink>
    </w:p>
    <w:bookmarkEnd w:id="210"/>
    <w:bookmarkStart w:id="212"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11">
        <w:r>
          <w:rPr>
            <w:rStyle w:val="Hyperlink"/>
          </w:rPr>
          <w:t xml:space="preserve">https://doi.org/10.2307/3588328</w:t>
        </w:r>
      </w:hyperlink>
    </w:p>
    <w:bookmarkEnd w:id="212"/>
    <w:bookmarkStart w:id="213"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13"/>
    <w:bookmarkStart w:id="214"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14"/>
    <w:bookmarkStart w:id="215"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15"/>
    <w:bookmarkStart w:id="216"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16"/>
    <w:bookmarkStart w:id="217" w:name="ref-historyCollinsCOBUILD"/>
    <w:p>
      <w:pPr>
        <w:pStyle w:val="Bibliography"/>
      </w:pPr>
      <w:r>
        <w:t xml:space="preserve">The history of Collins COBUILD. (n.d.). https://www.collinsdictionary.com/cobuild/.</w:t>
      </w:r>
    </w:p>
    <w:bookmarkEnd w:id="217"/>
    <w:bookmarkStart w:id="218"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18"/>
    <w:bookmarkStart w:id="219" w:name="ref-TiedemannParallelDataTools2012"/>
    <w:p>
      <w:pPr>
        <w:pStyle w:val="Bibliography"/>
      </w:pPr>
      <w:r>
        <w:t xml:space="preserve">Tiedemann, J. (2012). Parallel Data, Tools and Interfaces in OPUS, 5.</w:t>
      </w:r>
    </w:p>
    <w:bookmarkEnd w:id="219"/>
    <w:bookmarkStart w:id="220" w:name="ref-TiedemannFindingAlternativeTranslations2016"/>
    <w:p>
      <w:pPr>
        <w:pStyle w:val="Bibliography"/>
      </w:pPr>
      <w:r>
        <w:t xml:space="preserve">Tiedemann, J. (2016). Finding Alternative Translations in a Large Corpus of Movie Subtitles, 5.</w:t>
      </w:r>
    </w:p>
    <w:bookmarkEnd w:id="220"/>
    <w:bookmarkStart w:id="222"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21">
        <w:r>
          <w:rPr>
            <w:rStyle w:val="Hyperlink"/>
          </w:rPr>
          <w:t xml:space="preserve">https://doi.org/10.1016/0749-596X(89)90002-8</w:t>
        </w:r>
      </w:hyperlink>
    </w:p>
    <w:bookmarkEnd w:id="222"/>
    <w:bookmarkStart w:id="224"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23">
        <w:r>
          <w:rPr>
            <w:rStyle w:val="Hyperlink"/>
          </w:rPr>
          <w:t xml:space="preserve">https://doi.org/10.1016/0010-0277(90)90052-L</w:t>
        </w:r>
      </w:hyperlink>
    </w:p>
    <w:bookmarkEnd w:id="224"/>
    <w:bookmarkStart w:id="226"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25">
        <w:r>
          <w:rPr>
            <w:rStyle w:val="Hyperlink"/>
          </w:rPr>
          <w:t xml:space="preserve">https://doi.org/10.1093/applin/ams074</w:t>
        </w:r>
      </w:hyperlink>
    </w:p>
    <w:bookmarkEnd w:id="226"/>
    <w:bookmarkStart w:id="228"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27">
        <w:r>
          <w:rPr>
            <w:rStyle w:val="Hyperlink"/>
          </w:rPr>
          <w:t xml:space="preserve">https://doi.org/10.1037/0022-0663.98.3.542</w:t>
        </w:r>
      </w:hyperlink>
    </w:p>
    <w:bookmarkEnd w:id="228"/>
    <w:bookmarkStart w:id="230"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29">
        <w:r>
          <w:rPr>
            <w:rStyle w:val="Hyperlink"/>
          </w:rPr>
          <w:t xml:space="preserve">https://doi.org/10.1016/j.system.2009.01.004</w:t>
        </w:r>
      </w:hyperlink>
    </w:p>
    <w:bookmarkEnd w:id="230"/>
    <w:bookmarkStart w:id="231"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31"/>
    <w:bookmarkStart w:id="232"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32"/>
    <w:bookmarkStart w:id="233"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33"/>
    <w:bookmarkStart w:id="234"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34"/>
    <w:bookmarkStart w:id="235" w:name="ref-YaelHaifaCorpusSpoken2014"/>
    <w:p>
      <w:pPr>
        <w:pStyle w:val="Bibliography"/>
      </w:pPr>
      <w:r>
        <w:t xml:space="preserve">Yael, M. (2014). The Haifa Corpus of Spoken Hebrew. http://weblx2.haifa.ac.il/~corpus/corpus_website/.</w:t>
      </w:r>
    </w:p>
    <w:bookmarkEnd w:id="235"/>
    <w:bookmarkStart w:id="236" w:name="ref-ZhangDistributionalconsistencygeneral2004"/>
    <w:p>
      <w:pPr>
        <w:pStyle w:val="Bibliography"/>
      </w:pPr>
      <w:r>
        <w:t xml:space="preserve">Zhang, H., Huang, C., &amp; Yu, S. (2004). Distributional consistency: As a general method for defining a core lexicon. In (pp. 1119–1122). Lisbon.</w:t>
      </w:r>
    </w:p>
    <w:bookmarkEnd w:id="236"/>
    <w:bookmarkStart w:id="237"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37"/>
    <w:bookmarkStart w:id="238"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38"/>
    <w:bookmarkEnd w:id="2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Supplements can be downloaded directly from the thesis archive of the University of Texas at Austin. A separate repository at GitHub also contains the complete FDOSH at</w:t>
      </w:r>
      <w:r>
        <w:t xml:space="preserve"> </w:t>
      </w:r>
      <w:hyperlink r:id="rId24">
        <w:r>
          <w:rPr>
            <w:rStyle w:val="Hyperlink"/>
            <w:i/>
          </w:rPr>
          <w:t xml:space="preserve">https://github.com/juandpinto/opus-frequencies</w:t>
        </w:r>
      </w:hyperlink>
      <w:r>
        <w:t xml:space="preserve">.</w:t>
      </w:r>
    </w:p>
  </w:footnote>
  <w:footnote w:id="26">
    <w:p>
      <w:pPr>
        <w:pStyle w:val="FootnoteText"/>
      </w:pPr>
      <w:r>
        <w:rPr>
          <w:rStyle w:val="FootnoteReference"/>
        </w:rPr>
        <w:footnoteRef/>
      </w:r>
      <w:r>
        <w:t xml:space="preserve"> </w:t>
      </w:r>
      <w:r>
        <w:t xml:space="preserve">The sorting method and key measures used by the FDOSH is explained in detail in the section</w:t>
      </w:r>
      <w:r>
        <w:t xml:space="preserve"> </w:t>
      </w:r>
      <w:hyperlink w:anchor="objective-criteria">
        <w:r>
          <w:rPr>
            <w:i/>
            <w:rStyle w:val="Hyperlink"/>
          </w:rPr>
          <w:t xml:space="preserve">Objective Criteria</w:t>
        </w:r>
      </w:hyperlink>
      <w:r>
        <w:t xml:space="preserve"> </w:t>
      </w:r>
      <w:r>
        <w:t xml:space="preserve">below.</w:t>
      </w:r>
    </w:p>
  </w:footnote>
  <w:footnote w:id="29">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context.reverso.net/translation/" TargetMode="External" /><Relationship Type="http://schemas.openxmlformats.org/officeDocument/2006/relationships/hyperlink" Id="rId58" Target="http://cosih.com/" TargetMode="External" /><Relationship Type="http://schemas.openxmlformats.org/officeDocument/2006/relationships/hyperlink" Id="rId57" Target="http://opensubtitles.com" TargetMode="External" /><Relationship Type="http://schemas.openxmlformats.org/officeDocument/2006/relationships/hyperlink" Id="rId42" Target="http://opus.nlpl.eu" TargetMode="External" /><Relationship Type="http://schemas.openxmlformats.org/officeDocument/2006/relationships/hyperlink" Id="rId43" Target="http://opus.nlpl.eu/OpenSubtitles2018.php" TargetMode="External" /><Relationship Type="http://schemas.openxmlformats.org/officeDocument/2006/relationships/hyperlink" Id="rId44" Target="http://www.casmacat.eu" TargetMode="External" /><Relationship Type="http://schemas.openxmlformats.org/officeDocument/2006/relationships/hyperlink" Id="rId60" Target="http://www.imdb.com/" TargetMode="External" /><Relationship Type="http://schemas.openxmlformats.org/officeDocument/2006/relationships/hyperlink" Id="rId61" Target="http://www.omdbapi.com/" TargetMode="External" /><Relationship Type="http://schemas.openxmlformats.org/officeDocument/2006/relationships/hyperlink" Id="rId64" Target="https://atom.io" TargetMode="External" /><Relationship Type="http://schemas.openxmlformats.org/officeDocument/2006/relationships/hyperlink" Id="rId183" Target="https://doi.org/10.1002/j.1949-3533.2000.tb00239.x" TargetMode="External" /><Relationship Type="http://schemas.openxmlformats.org/officeDocument/2006/relationships/hyperlink" Id="rId108" Target="https://doi.org/10.1002/tesq.287" TargetMode="External" /><Relationship Type="http://schemas.openxmlformats.org/officeDocument/2006/relationships/hyperlink" Id="rId146"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34" Target="https://doi.org/10.1007/s10579-013-9256-x" TargetMode="External" /><Relationship Type="http://schemas.openxmlformats.org/officeDocument/2006/relationships/hyperlink" Id="rId223" Target="https://doi.org/10.1016/0010-0277(90)90052-L" TargetMode="External" /><Relationship Type="http://schemas.openxmlformats.org/officeDocument/2006/relationships/hyperlink" Id="rId189" Target="https://doi.org/10.1016/0346-251X(94)00050-G" TargetMode="External" /><Relationship Type="http://schemas.openxmlformats.org/officeDocument/2006/relationships/hyperlink" Id="rId221" Target="https://doi.org/10.1016/0749-596X(89)90002-8" TargetMode="External" /><Relationship Type="http://schemas.openxmlformats.org/officeDocument/2006/relationships/hyperlink" Id="rId121" Target="https://doi.org/10.1016/S0022-5371(73)80042-8" TargetMode="External" /><Relationship Type="http://schemas.openxmlformats.org/officeDocument/2006/relationships/hyperlink" Id="rId170" Target="https://doi.org/10.1016/S0346-251X(00)00013-0" TargetMode="External" /><Relationship Type="http://schemas.openxmlformats.org/officeDocument/2006/relationships/hyperlink" Id="rId102" Target="https://doi.org/10.1016/j.system.2003.11.008" TargetMode="External" /><Relationship Type="http://schemas.openxmlformats.org/officeDocument/2006/relationships/hyperlink" Id="rId229" Target="https://doi.org/10.1016/j.system.2009.01.004" TargetMode="External" /><Relationship Type="http://schemas.openxmlformats.org/officeDocument/2006/relationships/hyperlink" Id="rId119" Target="https://doi.org/10.1017.S0272263102002140" TargetMode="External" /><Relationship Type="http://schemas.openxmlformats.org/officeDocument/2006/relationships/hyperlink" Id="rId191" Target="https://doi.org/10.1017/S014271640707035X" TargetMode="External" /><Relationship Type="http://schemas.openxmlformats.org/officeDocument/2006/relationships/hyperlink" Id="rId209" Target="https://doi.org/10.1017/S0261444812000018" TargetMode="External" /><Relationship Type="http://schemas.openxmlformats.org/officeDocument/2006/relationships/hyperlink" Id="rId187" Target="https://doi.org/10.1017/S0261444814000111" TargetMode="External" /><Relationship Type="http://schemas.openxmlformats.org/officeDocument/2006/relationships/hyperlink" Id="rId117" Target="https://doi.org/10.1017/S0272263102002024" TargetMode="External" /><Relationship Type="http://schemas.openxmlformats.org/officeDocument/2006/relationships/hyperlink" Id="rId227" Target="https://doi.org/10.1037/0022-0663.98.3.542" TargetMode="External" /><Relationship Type="http://schemas.openxmlformats.org/officeDocument/2006/relationships/hyperlink" Id="rId136" Target="https://doi.org/10.1075/ijcl.13.4.02gri" TargetMode="External" /><Relationship Type="http://schemas.openxmlformats.org/officeDocument/2006/relationships/hyperlink" Id="rId162" Target="https://doi.org/10.1075/ijcl.17.1.08lij" TargetMode="External" /><Relationship Type="http://schemas.openxmlformats.org/officeDocument/2006/relationships/hyperlink" Id="rId149" Target="https://doi.org/10.1075/ijcl.6.2.01izr" TargetMode="External" /><Relationship Type="http://schemas.openxmlformats.org/officeDocument/2006/relationships/hyperlink" Id="rId110" Target="https://doi.org/10.1075/itl.167.2.02dan" TargetMode="External" /><Relationship Type="http://schemas.openxmlformats.org/officeDocument/2006/relationships/hyperlink" Id="rId185" Target="https://doi.org/10.1075/lllt.10.03nat" TargetMode="External" /><Relationship Type="http://schemas.openxmlformats.org/officeDocument/2006/relationships/hyperlink" Id="rId178" Target="https://doi.org/10.1075/z.208" TargetMode="External" /><Relationship Type="http://schemas.openxmlformats.org/officeDocument/2006/relationships/hyperlink" Id="rId203" Target="https://doi.org/10.1076/jqul.9.3.215.14124" TargetMode="External" /><Relationship Type="http://schemas.openxmlformats.org/officeDocument/2006/relationships/hyperlink" Id="rId193" Target="https://doi.org/10.1080/17470216508416445" TargetMode="External" /><Relationship Type="http://schemas.openxmlformats.org/officeDocument/2006/relationships/hyperlink" Id="rId125" Target="https://doi.org/10.1093/applin/amm010" TargetMode="External" /><Relationship Type="http://schemas.openxmlformats.org/officeDocument/2006/relationships/hyperlink" Id="rId22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53" Target="https://doi.org/10.1111/j.1540-4781.2011.01179.x" TargetMode="External" /><Relationship Type="http://schemas.openxmlformats.org/officeDocument/2006/relationships/hyperlink" Id="rId158" Target="https://doi.org/10.1177/0033688212440637" TargetMode="External" /><Relationship Type="http://schemas.openxmlformats.org/officeDocument/2006/relationships/hyperlink" Id="rId175" Target="https://doi.org/10.1177/003368828201300102" TargetMode="External" /><Relationship Type="http://schemas.openxmlformats.org/officeDocument/2006/relationships/hyperlink" Id="rId197" Target="https://doi.org/10.1177/003368828801900202" TargetMode="External" /><Relationship Type="http://schemas.openxmlformats.org/officeDocument/2006/relationships/hyperlink" Id="rId128" Target="https://doi.org/10.1515/CLLT.2009.001" TargetMode="External" /><Relationship Type="http://schemas.openxmlformats.org/officeDocument/2006/relationships/hyperlink" Id="rId19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4" Target="https://doi.org/10.2307/1932409" TargetMode="External" /><Relationship Type="http://schemas.openxmlformats.org/officeDocument/2006/relationships/hyperlink" Id="rId106" Target="https://doi.org/10.2307/3587951" TargetMode="External" /><Relationship Type="http://schemas.openxmlformats.org/officeDocument/2006/relationships/hyperlink" Id="rId211" Target="https://doi.org/10.2307/3588328" TargetMode="External" /><Relationship Type="http://schemas.openxmlformats.org/officeDocument/2006/relationships/hyperlink" Id="rId206" Target="https://doi.org/10.2307/41262309?ref=no-x-route:cb78a69b6dc8bf1478b58d47243b1248" TargetMode="External" /><Relationship Type="http://schemas.openxmlformats.org/officeDocument/2006/relationships/hyperlink" Id="rId172"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7" Target="https://doi.org/10.3758/BRM.41.4.977" TargetMode="External" /><Relationship Type="http://schemas.openxmlformats.org/officeDocument/2006/relationships/hyperlink" Id="rId62" Target="https://github.com/dgilland" TargetMode="External" /><Relationship Type="http://schemas.openxmlformats.org/officeDocument/2006/relationships/hyperlink" Id="rId63" Target="https://github.com/dgilland/omdb.py" TargetMode="External" /><Relationship Type="http://schemas.openxmlformats.org/officeDocument/2006/relationships/hyperlink" Id="rId24" Target="https://github.com/juandpinto/opus-frequencies" TargetMode="External" /><Relationship Type="http://schemas.openxmlformats.org/officeDocument/2006/relationships/hyperlink" Id="rId47" Target="https://www.opensubtitles.org/" TargetMode="External" /></Relationships>
</file>

<file path=word/_rels/footnotes.xml.rels><?xml version="1.0" encoding="UTF-8"?>
<Relationships xmlns="http://schemas.openxmlformats.org/package/2006/relationships"><Relationship Type="http://schemas.openxmlformats.org/officeDocument/2006/relationships/hyperlink" Id="rId45" Target="http://context.reverso.net/translation/" TargetMode="External" /><Relationship Type="http://schemas.openxmlformats.org/officeDocument/2006/relationships/hyperlink" Id="rId58" Target="http://cosih.com/" TargetMode="External" /><Relationship Type="http://schemas.openxmlformats.org/officeDocument/2006/relationships/hyperlink" Id="rId57" Target="http://opensubtitles.com" TargetMode="External" /><Relationship Type="http://schemas.openxmlformats.org/officeDocument/2006/relationships/hyperlink" Id="rId42" Target="http://opus.nlpl.eu" TargetMode="External" /><Relationship Type="http://schemas.openxmlformats.org/officeDocument/2006/relationships/hyperlink" Id="rId43" Target="http://opus.nlpl.eu/OpenSubtitles2018.php" TargetMode="External" /><Relationship Type="http://schemas.openxmlformats.org/officeDocument/2006/relationships/hyperlink" Id="rId44" Target="http://www.casmacat.eu" TargetMode="External" /><Relationship Type="http://schemas.openxmlformats.org/officeDocument/2006/relationships/hyperlink" Id="rId60" Target="http://www.imdb.com/" TargetMode="External" /><Relationship Type="http://schemas.openxmlformats.org/officeDocument/2006/relationships/hyperlink" Id="rId61" Target="http://www.omdbapi.com/" TargetMode="External" /><Relationship Type="http://schemas.openxmlformats.org/officeDocument/2006/relationships/hyperlink" Id="rId64" Target="https://atom.io" TargetMode="External" /><Relationship Type="http://schemas.openxmlformats.org/officeDocument/2006/relationships/hyperlink" Id="rId183" Target="https://doi.org/10.1002/j.1949-3533.2000.tb00239.x" TargetMode="External" /><Relationship Type="http://schemas.openxmlformats.org/officeDocument/2006/relationships/hyperlink" Id="rId108" Target="https://doi.org/10.1002/tesq.287" TargetMode="External" /><Relationship Type="http://schemas.openxmlformats.org/officeDocument/2006/relationships/hyperlink" Id="rId146" Target="https://doi.org/10.1007/1-4020-7911-7_6" TargetMode="External" /><Relationship Type="http://schemas.openxmlformats.org/officeDocument/2006/relationships/hyperlink" Id="rId77" Target="https://doi.org/10.1007/s10579-012-9214-z" TargetMode="External" /><Relationship Type="http://schemas.openxmlformats.org/officeDocument/2006/relationships/hyperlink" Id="rId134" Target="https://doi.org/10.1007/s10579-013-9256-x" TargetMode="External" /><Relationship Type="http://schemas.openxmlformats.org/officeDocument/2006/relationships/hyperlink" Id="rId223" Target="https://doi.org/10.1016/0010-0277(90)90052-L" TargetMode="External" /><Relationship Type="http://schemas.openxmlformats.org/officeDocument/2006/relationships/hyperlink" Id="rId189" Target="https://doi.org/10.1016/0346-251X(94)00050-G" TargetMode="External" /><Relationship Type="http://schemas.openxmlformats.org/officeDocument/2006/relationships/hyperlink" Id="rId221" Target="https://doi.org/10.1016/0749-596X(89)90002-8" TargetMode="External" /><Relationship Type="http://schemas.openxmlformats.org/officeDocument/2006/relationships/hyperlink" Id="rId121" Target="https://doi.org/10.1016/S0022-5371(73)80042-8" TargetMode="External" /><Relationship Type="http://schemas.openxmlformats.org/officeDocument/2006/relationships/hyperlink" Id="rId170" Target="https://doi.org/10.1016/S0346-251X(00)00013-0" TargetMode="External" /><Relationship Type="http://schemas.openxmlformats.org/officeDocument/2006/relationships/hyperlink" Id="rId102" Target="https://doi.org/10.1016/j.system.2003.11.008" TargetMode="External" /><Relationship Type="http://schemas.openxmlformats.org/officeDocument/2006/relationships/hyperlink" Id="rId229" Target="https://doi.org/10.1016/j.system.2009.01.004" TargetMode="External" /><Relationship Type="http://schemas.openxmlformats.org/officeDocument/2006/relationships/hyperlink" Id="rId119" Target="https://doi.org/10.1017.S0272263102002140" TargetMode="External" /><Relationship Type="http://schemas.openxmlformats.org/officeDocument/2006/relationships/hyperlink" Id="rId191" Target="https://doi.org/10.1017/S014271640707035X" TargetMode="External" /><Relationship Type="http://schemas.openxmlformats.org/officeDocument/2006/relationships/hyperlink" Id="rId209" Target="https://doi.org/10.1017/S0261444812000018" TargetMode="External" /><Relationship Type="http://schemas.openxmlformats.org/officeDocument/2006/relationships/hyperlink" Id="rId187" Target="https://doi.org/10.1017/S0261444814000111" TargetMode="External" /><Relationship Type="http://schemas.openxmlformats.org/officeDocument/2006/relationships/hyperlink" Id="rId117" Target="https://doi.org/10.1017/S0272263102002024" TargetMode="External" /><Relationship Type="http://schemas.openxmlformats.org/officeDocument/2006/relationships/hyperlink" Id="rId227" Target="https://doi.org/10.1037/0022-0663.98.3.542" TargetMode="External" /><Relationship Type="http://schemas.openxmlformats.org/officeDocument/2006/relationships/hyperlink" Id="rId136" Target="https://doi.org/10.1075/ijcl.13.4.02gri" TargetMode="External" /><Relationship Type="http://schemas.openxmlformats.org/officeDocument/2006/relationships/hyperlink" Id="rId162" Target="https://doi.org/10.1075/ijcl.17.1.08lij" TargetMode="External" /><Relationship Type="http://schemas.openxmlformats.org/officeDocument/2006/relationships/hyperlink" Id="rId149" Target="https://doi.org/10.1075/ijcl.6.2.01izr" TargetMode="External" /><Relationship Type="http://schemas.openxmlformats.org/officeDocument/2006/relationships/hyperlink" Id="rId110" Target="https://doi.org/10.1075/itl.167.2.02dan" TargetMode="External" /><Relationship Type="http://schemas.openxmlformats.org/officeDocument/2006/relationships/hyperlink" Id="rId185" Target="https://doi.org/10.1075/lllt.10.03nat" TargetMode="External" /><Relationship Type="http://schemas.openxmlformats.org/officeDocument/2006/relationships/hyperlink" Id="rId178" Target="https://doi.org/10.1075/z.208" TargetMode="External" /><Relationship Type="http://schemas.openxmlformats.org/officeDocument/2006/relationships/hyperlink" Id="rId203" Target="https://doi.org/10.1076/jqul.9.3.215.14124" TargetMode="External" /><Relationship Type="http://schemas.openxmlformats.org/officeDocument/2006/relationships/hyperlink" Id="rId193" Target="https://doi.org/10.1080/17470216508416445" TargetMode="External" /><Relationship Type="http://schemas.openxmlformats.org/officeDocument/2006/relationships/hyperlink" Id="rId125" Target="https://doi.org/10.1093/applin/amm010" TargetMode="External" /><Relationship Type="http://schemas.openxmlformats.org/officeDocument/2006/relationships/hyperlink" Id="rId225" Target="https://doi.org/10.1093/applin/ams074" TargetMode="External" /><Relationship Type="http://schemas.openxmlformats.org/officeDocument/2006/relationships/hyperlink" Id="rId94" Target="https://doi.org/10.1093/applin/amt018" TargetMode="External" /><Relationship Type="http://schemas.openxmlformats.org/officeDocument/2006/relationships/hyperlink" Id="rId86" Target="https://doi.org/10.1093/ijl/6.4.253" TargetMode="External" /><Relationship Type="http://schemas.openxmlformats.org/officeDocument/2006/relationships/hyperlink" Id="rId89" Target="https://doi.org/10.1093/llc/8.4.243" TargetMode="External" /><Relationship Type="http://schemas.openxmlformats.org/officeDocument/2006/relationships/hyperlink" Id="rId75" Target="https://doi.org/10.1111/j.1467-9280.2006.01787.x" TargetMode="External" /><Relationship Type="http://schemas.openxmlformats.org/officeDocument/2006/relationships/hyperlink" Id="rId153" Target="https://doi.org/10.1111/j.1540-4781.2011.01179.x" TargetMode="External" /><Relationship Type="http://schemas.openxmlformats.org/officeDocument/2006/relationships/hyperlink" Id="rId158" Target="https://doi.org/10.1177/0033688212440637" TargetMode="External" /><Relationship Type="http://schemas.openxmlformats.org/officeDocument/2006/relationships/hyperlink" Id="rId175" Target="https://doi.org/10.1177/003368828201300102" TargetMode="External" /><Relationship Type="http://schemas.openxmlformats.org/officeDocument/2006/relationships/hyperlink" Id="rId197" Target="https://doi.org/10.1177/003368828801900202" TargetMode="External" /><Relationship Type="http://schemas.openxmlformats.org/officeDocument/2006/relationships/hyperlink" Id="rId128" Target="https://doi.org/10.1515/CLLT.2009.001" TargetMode="External" /><Relationship Type="http://schemas.openxmlformats.org/officeDocument/2006/relationships/hyperlink" Id="rId199" Target="https://doi.org/10.15446/profile.v17n1.43957" TargetMode="External" /><Relationship Type="http://schemas.openxmlformats.org/officeDocument/2006/relationships/hyperlink" Id="rId82" Target="https://doi.org/10.2307/1166112" TargetMode="External" /><Relationship Type="http://schemas.openxmlformats.org/officeDocument/2006/relationships/hyperlink" Id="rId114" Target="https://doi.org/10.2307/1932409" TargetMode="External" /><Relationship Type="http://schemas.openxmlformats.org/officeDocument/2006/relationships/hyperlink" Id="rId106" Target="https://doi.org/10.2307/3587951" TargetMode="External" /><Relationship Type="http://schemas.openxmlformats.org/officeDocument/2006/relationships/hyperlink" Id="rId211" Target="https://doi.org/10.2307/3588328" TargetMode="External" /><Relationship Type="http://schemas.openxmlformats.org/officeDocument/2006/relationships/hyperlink" Id="rId206" Target="https://doi.org/10.2307/41262309?ref=no-x-route:cb78a69b6dc8bf1478b58d47243b1248" TargetMode="External" /><Relationship Type="http://schemas.openxmlformats.org/officeDocument/2006/relationships/hyperlink" Id="rId172" Target="https://doi.org/10.2307/747770" TargetMode="External" /><Relationship Type="http://schemas.openxmlformats.org/officeDocument/2006/relationships/hyperlink" Id="rId79" Target="https://doi.org/10.3366/corp.2012.0022" TargetMode="External" /><Relationship Type="http://schemas.openxmlformats.org/officeDocument/2006/relationships/hyperlink" Id="rId97" Target="https://doi.org/10.3758/BRM.41.4.977" TargetMode="External" /><Relationship Type="http://schemas.openxmlformats.org/officeDocument/2006/relationships/hyperlink" Id="rId62" Target="https://github.com/dgilland" TargetMode="External" /><Relationship Type="http://schemas.openxmlformats.org/officeDocument/2006/relationships/hyperlink" Id="rId63" Target="https://github.com/dgilland/omdb.py" TargetMode="External" /><Relationship Type="http://schemas.openxmlformats.org/officeDocument/2006/relationships/hyperlink" Id="rId24" Target="https://github.com/juandpinto/opus-frequencies" TargetMode="External" /><Relationship Type="http://schemas.openxmlformats.org/officeDocument/2006/relationships/hyperlink" Id="rId47" Target="https://www.opensubtitl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2018-04-28T01:59:22Z</dcterms:created>
  <dcterms:modified xsi:type="dcterms:W3CDTF">2018-04-28T01:59:22Z</dcterms:modified>
</cp:coreProperties>
</file>