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left w:val="none"/>
          <w:bottom w:val="single" w:color="0F2942" w:sz="12"/>
          <w:right w:val="none"/>
          <w:insideH w:val="none"/>
          <w:insideV w:val="none"/>
        </w:tblBorders>
      </w:tblPr>
      <w:tblGrid>
        <w:gridCol w:w="1179"/>
        <w:gridCol w:w="4989"/>
        <w:gridCol w:w="2902"/>
      </w:tblGrid>
      <w:tr>
        <w:tc>
          <w:tcPr>
            <w:tcW w:type="pct" w:w="650"/>
          </w:tcPr>
          <w:p>
            <w:pPr>
              <w:jc w:val="left"/>
            </w:pPr>
            <w:r>
              <w:drawing>
                <wp:inline distT="0" distB="0" distL="0" distR="0">
                  <wp:extent cx="523875" cy="5238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 cy="523875"/>
                          </a:xfrm>
                          <a:prstGeom prst="rect">
                            <a:avLst/>
                          </a:prstGeom>
                        </pic:spPr>
                      </pic:pic>
                    </a:graphicData>
                  </a:graphic>
                </wp:inline>
              </w:drawing>
            </w:r>
          </w:p>
        </w:tc>
        <w:tc>
          <w:tcPr>
            <w:tcW w:type="pct" w:w="2750"/>
          </w:tcPr>
          <w:p>
            <w:r>
              <w:rPr>
                <w:b/>
                <w:bCs/>
                <w:color w:val="0F2942"/>
                <w:sz w:val="23"/>
                <w:szCs w:val="23"/>
              </w:rPr>
              <w:t xml:space="preserve">ODONTOCLOUD COLOMBIA</w:t>
            </w:r>
          </w:p>
          <w:p>
            <w:r>
              <w:rPr>
                <w:b/>
                <w:bCs/>
                <w:color w:val="0D9488"/>
                <w:sz w:val="17"/>
                <w:szCs w:val="17"/>
              </w:rPr>
              <w:t xml:space="preserve">Software de Gestión Odontológica en la Nube</w:t>
            </w:r>
          </w:p>
        </w:tc>
        <w:tc>
          <w:tcPr>
            <w:tcW w:type="pct" w:w="1600"/>
          </w:tcPr>
          <w:p>
            <w:pPr>
              <w:jc w:val="right"/>
            </w:pPr>
            <w:r>
              <w:rPr>
                <w:b/>
                <w:bCs/>
                <w:color w:val="475569"/>
                <w:sz w:val="15"/>
                <w:szCs w:val="15"/>
              </w:rPr>
              <w:t xml:space="preserve">Código: TERM-01 | Versión: 2026.1
</w:t>
            </w:r>
            <w:r>
              <w:rPr>
                <w:color w:val="475569"/>
                <w:sz w:val="14"/>
                <w:szCs w:val="14"/>
              </w:rPr>
              <w:t xml:space="preserve">Edición: Octubre 2026
</w:t>
            </w:r>
            <w:r>
              <w:rPr>
                <w:b/>
                <w:bCs/>
                <w:color w:val="1D4ED8"/>
                <w:sz w:val="14"/>
                <w:szCs w:val="14"/>
              </w:rPr>
              <w:t xml:space="preserve">BORRADOR PARA REVISIÓN Y ADHESIÓN COMERCIAL</w:t>
            </w:r>
          </w:p>
        </w:tc>
      </w:tr>
    </w:tbl>
    <w:p/>
    <w:p>
      <w:pPr>
        <w:pStyle w:val="Heading1"/>
        <w:spacing w:after="60"/>
        <w:jc w:val="center"/>
      </w:pPr>
      <w:r>
        <w:rPr>
          <w:b/>
          <w:bCs/>
          <w:color w:val="0F2942"/>
          <w:sz w:val="27"/>
          <w:szCs w:val="27"/>
        </w:rPr>
        <w:t xml:space="preserve">TÉRMINOS Y CONDICIONES GENERALES DE USO DEL SERVICIO SAAS</w:t>
      </w:r>
    </w:p>
    <w:p>
      <w:pPr>
        <w:spacing w:after="120"/>
        <w:jc w:val="center"/>
      </w:pPr>
      <w:r>
        <w:rPr>
          <w:color w:val="475569"/>
          <w:sz w:val="19"/>
          <w:szCs w:val="19"/>
        </w:rPr>
        <w:t xml:space="preserve">Condiciones Generales de Contratación, Licenciamiento, Nivel de Servicio, Régimen de Custodia y Tratamiento Posterior de Datos</w:t>
      </w:r>
    </w:p>
    <w:p>
      <w:pPr>
        <w:pStyle w:val="Heading2"/>
        <w:spacing w:after="70" w:before="160"/>
      </w:pPr>
      <w:r>
        <w:rPr>
          <w:b/>
          <w:bCs/>
          <w:color w:val="0F2942"/>
          <w:sz w:val="23"/>
          <w:szCs w:val="23"/>
        </w:rPr>
        <w:t xml:space="preserve">1. Definiciones y Alcance Contractual</w:t>
      </w:r>
    </w:p>
    <w:p>
      <w:pPr>
        <w:spacing w:after="90" w:line="276"/>
        <w:jc w:val="both"/>
      </w:pPr>
      <w:r>
        <w:rPr>
          <w:color w:val="1E293B"/>
          <w:sz w:val="21"/>
          <w:szCs w:val="21"/>
        </w:rPr>
        <w:t xml:space="preserve">Los presentes Términos y Condiciones regulan el acceso, licenciamiento de uso y prestación de servicios de software en la nube bajo el modelo Software as a Service (SaaS) a través de la plataforma OdontoCloud Colombia (en adelante, el Servicio o la Plataforma), provista por JUAN EDUARDO MADRID REQUENA (en adelante, EL PROVEEDOR).</w:t>
      </w:r>
    </w:p>
    <w:p>
      <w:pPr>
        <w:spacing w:after="90" w:line="276"/>
        <w:jc w:val="both"/>
      </w:pPr>
      <w:r>
        <w:rPr>
          <w:color w:val="1E293B"/>
          <w:sz w:val="21"/>
          <w:szCs w:val="21"/>
        </w:rPr>
        <w:t xml:space="preserve">El uso de la plataforma por parte de cualquier clínica, consultorio odontológico, profesional independiente o institución prestadora de salud (en adelante, EL CLIENTE o LA IPS) implica el conocimiento, aceptación vinculante y sujeción estricta a estas condiciones generales.</w:t>
      </w:r>
    </w:p>
    <w:p>
      <w:pPr>
        <w:pStyle w:val="Heading2"/>
        <w:spacing w:after="70" w:before="160"/>
      </w:pPr>
      <w:r>
        <w:rPr>
          <w:b/>
          <w:bCs/>
          <w:color w:val="0F2942"/>
          <w:sz w:val="23"/>
          <w:szCs w:val="23"/>
        </w:rPr>
        <w:t xml:space="preserve">2. Capacidad y Registro de Usuarios</w:t>
      </w:r>
    </w:p>
    <w:p>
      <w:pPr>
        <w:spacing w:after="90" w:line="276"/>
        <w:jc w:val="both"/>
      </w:pPr>
      <w:r>
        <w:rPr>
          <w:color w:val="1E293B"/>
          <w:sz w:val="21"/>
          <w:szCs w:val="21"/>
        </w:rPr>
        <w:t xml:space="preserve">El acceso al Servicio requiere la previa formalización comercial del plan correspondiente. LA IPS designará a los usuarios autorizados (odontólogos, especialistas, recepcionistas y administradores) a quienes se les habilitarán credenciales personales e intransferibles.</w:t>
      </w:r>
    </w:p>
    <w:p>
      <w:pPr>
        <w:spacing w:after="90" w:line="276"/>
        <w:jc w:val="both"/>
      </w:pPr>
      <w:r>
        <w:rPr>
          <w:color w:val="1E293B"/>
          <w:sz w:val="21"/>
          <w:szCs w:val="21"/>
        </w:rPr>
        <w:t xml:space="preserve">LA IPS declara bajo la gravedad de juramento que la información suministrada respecto a su personería jurídica, código de habilitación REPS, domicilio y profesionales de la salud vinculados es verídica, vigente y legítima.</w:t>
      </w:r>
    </w:p>
    <w:p>
      <w:pPr>
        <w:pStyle w:val="Heading2"/>
        <w:spacing w:after="70" w:before="160"/>
      </w:pPr>
      <w:r>
        <w:rPr>
          <w:b/>
          <w:bCs/>
          <w:color w:val="0F2942"/>
          <w:sz w:val="23"/>
          <w:szCs w:val="23"/>
        </w:rPr>
        <w:t xml:space="preserve">3. Licencia de Uso No Exclusiva y Propiedad Intelectual</w:t>
      </w:r>
    </w:p>
    <w:p>
      <w:pPr>
        <w:spacing w:after="90" w:line="276"/>
        <w:jc w:val="both"/>
      </w:pPr>
      <w:r>
        <w:rPr>
          <w:color w:val="1E293B"/>
          <w:sz w:val="21"/>
          <w:szCs w:val="21"/>
        </w:rPr>
        <w:t xml:space="preserve">EL PROVEEDOR concede a LA IPS una licencia temporal de uso, no exclusiva, revocable, no sublicenciable e intransferible para acceder a OdontoCloud a través de internet durante la vigencia del servicio contratado.</w:t>
      </w:r>
    </w:p>
    <w:p>
      <w:pPr>
        <w:spacing w:after="90" w:line="276"/>
        <w:jc w:val="both"/>
      </w:pPr>
      <w:r>
        <w:rPr>
          <w:color w:val="1E293B"/>
          <w:sz w:val="21"/>
          <w:szCs w:val="21"/>
        </w:rPr>
        <w:t xml:space="preserve">Todo el software, código fuente, algoritmos, arquitectura técnica, modelos relacionales de datos, diseño de interfaces, marcas comerciales y logotipos son de propiedad exclusiva de JUAN EDUARDO MADRID REQUENA. LA IPS no adquiere derecho alguno de propiedad intelectual sobre el sistema.</w:t>
      </w:r>
    </w:p>
    <w:p>
      <w:pPr>
        <w:spacing w:after="90" w:line="276"/>
        <w:jc w:val="both"/>
      </w:pPr>
      <w:r>
        <w:rPr>
          <w:color w:val="1E293B"/>
          <w:sz w:val="21"/>
          <w:szCs w:val="21"/>
        </w:rPr>
        <w:t xml:space="preserve">Por su parte, todos los registros clínicos, datos personales de pacientes, diagnósticos, consentimientos y fichas asistenciales ingresados en la plataforma son de propiedad de los pacientes y están bajo la custodia legal indelegable de LA IPS.</w:t>
      </w:r>
    </w:p>
    <w:p>
      <w:pPr>
        <w:pStyle w:val="Heading2"/>
        <w:spacing w:after="70" w:before="160"/>
      </w:pPr>
      <w:r>
        <w:rPr>
          <w:b/>
          <w:bCs/>
          <w:color w:val="0F2942"/>
          <w:sz w:val="23"/>
          <w:szCs w:val="23"/>
        </w:rPr>
        <w:t xml:space="preserve">4. Disponibilidad del Servicio y Exclusiones de SLA</w:t>
      </w:r>
    </w:p>
    <w:p>
      <w:pPr>
        <w:spacing w:after="90" w:line="276"/>
        <w:jc w:val="both"/>
      </w:pPr>
      <w:r>
        <w:rPr>
          <w:color w:val="1E293B"/>
          <w:sz w:val="21"/>
          <w:szCs w:val="21"/>
        </w:rPr>
        <w:t xml:space="preserve">EL PROVEEDOR procurará mantener un nivel objetivo de disponibilidad del servicio del 99.5% mensual bajo un estándar de mejores esfuerzos técnicos. No obstante, LAS PARTES reconocen que pueden presentarse contingencias inherentes a las redes de telecomunicaciones.</w:t>
      </w:r>
    </w:p>
    <w:p>
      <w:pPr>
        <w:spacing w:after="90" w:line="276"/>
        <w:jc w:val="both"/>
      </w:pPr>
      <w:r>
        <w:rPr>
          <w:color w:val="1E293B"/>
          <w:sz w:val="21"/>
          <w:szCs w:val="21"/>
        </w:rPr>
        <w:t xml:space="preserve">Se excluyen del cálculo de indisponibilidad: a) Ventanas programadas de mantenimiento preventivo y actualización, notificadas preferentemente en horarios nocturnos no asistenciales; b) Fallas en las redes de internet, equipos locales o proveedores de conectividad de LA IPS; c) Cortes o afectaciones imprevistas en la infraestructura del proveedor de hosting o VPS; d) Ataques informáticos masivos de denegación de servicio (DDoS) o eventos de fuerza mayor.</w:t>
      </w:r>
    </w:p>
    <w:p>
      <w:pPr>
        <w:pStyle w:val="Heading2"/>
        <w:spacing w:after="70" w:before="160"/>
      </w:pPr>
      <w:r>
        <w:rPr>
          <w:b/>
          <w:bCs/>
          <w:color w:val="0F2942"/>
          <w:sz w:val="23"/>
          <w:szCs w:val="23"/>
        </w:rPr>
        <w:t xml:space="preserve">5. Responsabilidad Asistencial y Sanitaria Exclusiva de la IPS</w:t>
      </w:r>
    </w:p>
    <w:p>
      <w:pPr>
        <w:spacing w:after="90" w:line="276"/>
        <w:jc w:val="both"/>
      </w:pPr>
      <w:r>
        <w:rPr>
          <w:color w:val="1E293B"/>
          <w:sz w:val="21"/>
          <w:szCs w:val="21"/>
        </w:rPr>
        <w:t xml:space="preserve">LA IPS reconoce expresamente que OdontoCloud actúa de forma exclusiva como proveedor de una herramienta tecnológica de información.</w:t>
      </w:r>
    </w:p>
    <w:p>
      <w:pPr>
        <w:spacing w:after="90" w:line="276"/>
        <w:jc w:val="both"/>
      </w:pPr>
      <w:r>
        <w:rPr>
          <w:color w:val="1E293B"/>
          <w:sz w:val="21"/>
          <w:szCs w:val="21"/>
        </w:rPr>
        <w:t xml:space="preserve">El acto odontológico, los diagnósticos, planes de tratamiento, prescripción de medicamentos, pertinencia clínica, diligenciamiento de notas de evolución y la relación profesional-paciente corresponden de manera privativa, directa e indelegable a los profesionales tratantes y a LA IPS. El software no ejerce la odontología, no formula prescripciones autónomas ni reemplaza el criterio médico.</w:t>
      </w:r>
    </w:p>
    <w:p>
      <w:pPr>
        <w:spacing w:after="90" w:line="276"/>
        <w:jc w:val="both"/>
      </w:pPr>
      <w:r>
        <w:rPr>
          <w:color w:val="1E293B"/>
          <w:sz w:val="21"/>
          <w:szCs w:val="21"/>
        </w:rPr>
        <w:t xml:space="preserve">Asimismo, la obtención, registro y mantenimiento de la habilitación sanitaria ante el Registro Especial de Prestadores de Servicios de Salud (REPS) conforme a la Resolución 3100 de 2019 de MinSalud es de competencia exclusiva del prestador de salud.</w:t>
      </w:r>
    </w:p>
    <w:p>
      <w:pPr>
        <w:pStyle w:val="Heading2"/>
        <w:spacing w:after="70" w:before="160"/>
      </w:pPr>
      <w:r>
        <w:rPr>
          <w:b/>
          <w:bCs/>
          <w:color w:val="0F2942"/>
          <w:sz w:val="23"/>
          <w:szCs w:val="23"/>
        </w:rPr>
        <w:t xml:space="preserve">6. Procedimiento ante Mora y Salvaguarda de la Información</w:t>
      </w:r>
    </w:p>
    <w:p>
      <w:pPr>
        <w:spacing w:after="90" w:line="276"/>
        <w:jc w:val="both"/>
      </w:pPr>
      <w:r>
        <w:rPr>
          <w:color w:val="1E293B"/>
          <w:sz w:val="21"/>
          <w:szCs w:val="21"/>
        </w:rPr>
        <w:t xml:space="preserve">En caso de mora superior a treinta (30) días calendario en el pago de los cánones acordados, EL PROVEEDOR remitirá un requerimiento formal al correo registrado de LA IPS, otorgando un plazo perentorio de quince (15) días calendario para la regularización de la obligación económica o para que la clínica proceda a la descarga y exportación de sus historias clínicas y registros activos a través de los módulos habilitados. Vencido este plazo sin acuerdo, EL PROVEEDOR podrá suspender temporalmente el acceso a la plataforma.</w:t>
      </w:r>
    </w:p>
    <w:p>
      <w:pPr>
        <w:pStyle w:val="Heading2"/>
        <w:spacing w:after="70" w:before="160"/>
      </w:pPr>
      <w:r>
        <w:rPr>
          <w:b/>
          <w:bCs/>
          <w:color w:val="0F2942"/>
          <w:sz w:val="23"/>
          <w:szCs w:val="23"/>
        </w:rPr>
        <w:t xml:space="preserve">7. Custodia de 15 Años (Res. 839/2017), Exportación y Terminación</w:t>
      </w:r>
    </w:p>
    <w:p>
      <w:pPr>
        <w:spacing w:after="90" w:line="276"/>
        <w:jc w:val="both"/>
      </w:pPr>
      <w:r>
        <w:rPr>
          <w:color w:val="1E293B"/>
          <w:sz w:val="21"/>
          <w:szCs w:val="21"/>
        </w:rPr>
        <w:t xml:space="preserve">• Custodia Privativa de la IPS: Conforme a la Resolución 839 de 2017 de MinSalud, la custodia y conservación legal de las historias clínicas por el término de quince (15) años corresponde de manera privativa e indelegable a LA IPS.</w:t>
      </w:r>
    </w:p>
    <w:p>
      <w:pPr>
        <w:spacing w:after="90" w:line="276"/>
        <w:jc w:val="both"/>
      </w:pPr>
      <w:r>
        <w:rPr>
          <w:color w:val="1E293B"/>
          <w:sz w:val="21"/>
          <w:szCs w:val="21"/>
        </w:rPr>
        <w:t xml:space="preserve">• Periodo de Gracia para Descarga: Finalizado el vínculo contractual por cualquier causa, LA IPS dispondrá de un periodo de gracia improrrogable de sesenta (60) días calendario para descargar o exportar la totalidad de sus historias clínicas foliadas en PDF, datos en JSON/CSV y consentimientos digitalizados.</w:t>
      </w:r>
    </w:p>
    <w:p>
      <w:pPr>
        <w:spacing w:after="90" w:line="276"/>
        <w:jc w:val="both"/>
      </w:pPr>
      <w:r>
        <w:rPr>
          <w:color w:val="1E293B"/>
          <w:sz w:val="21"/>
          <w:szCs w:val="21"/>
        </w:rPr>
        <w:t xml:space="preserve">• Acta de Cierre y Entrega Documentada: Al término de la descarga, LAS PARTES suscribirán un Acta de Cierre y Entrega Documentada certificando que la información ha sido recibida por LA IPS bajo su custodia.</w:t>
      </w:r>
    </w:p>
    <w:p>
      <w:pPr>
        <w:spacing w:after="90" w:line="276"/>
        <w:jc w:val="both"/>
      </w:pPr>
      <w:r>
        <w:rPr>
          <w:color w:val="1E293B"/>
          <w:sz w:val="21"/>
          <w:szCs w:val="21"/>
        </w:rPr>
        <w:t xml:space="preserve">• Fin del Alojamiento: EL PROVEEDOR no asume la custodia pasiva indefinida ni gratuita de las bases de datos de LA IPS, ni efectuará eliminación automática desatendida. Vencido el plazo de gracia sin suscripción del acta ni retiro de datos, se enviará un preaviso final de quince (15) días para acordar custodia transitoria tarifada o proceder al retiro y disposición de los contenedores conforme a la ley.</w:t>
      </w:r>
    </w:p>
    <w:p>
      <w:pPr>
        <w:pStyle w:val="Heading2"/>
        <w:spacing w:after="70" w:before="160"/>
      </w:pPr>
      <w:r>
        <w:rPr>
          <w:b/>
          <w:bCs/>
          <w:color w:val="0F2942"/>
          <w:sz w:val="23"/>
          <w:szCs w:val="23"/>
        </w:rPr>
        <w:t xml:space="preserve">8. Ley Aplicable y Jurisdicción</w:t>
      </w:r>
    </w:p>
    <w:p>
      <w:pPr>
        <w:spacing w:after="90" w:line="276"/>
        <w:jc w:val="both"/>
      </w:pPr>
      <w:r>
        <w:rPr>
          <w:color w:val="1E293B"/>
          <w:sz w:val="21"/>
          <w:szCs w:val="21"/>
        </w:rPr>
        <w:t xml:space="preserve">Los presentes Términos se rigen e interpretan conforme a las leyes de la República de Colombia. Cualquier diferencia se resolverá en primera instancia mediante arreglo directo y, en su defecto, ante los centros de conciliación autorizados en la ciudad de Sincelejo, Sucre.</w:t>
      </w:r>
    </w:p>
    <w:sectPr>
      <w:headerReference w:type="default" r:id="rId6"/>
      <w:footerReference w:type="default" r:id="rId7"/>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5000"/>
      <w:tblBorders>
        <w:top w:val="single" w:color="CBD5E1" w:sz="4"/>
        <w:left w:val="none"/>
        <w:bottom w:val="none"/>
        <w:right w:val="none"/>
        <w:insideH w:val="none"/>
        <w:insideV w:val="none"/>
      </w:tblBorders>
    </w:tblPr>
    <w:tblGrid>
      <w:gridCol w:w="6349"/>
      <w:gridCol w:w="2721"/>
    </w:tblGrid>
    <w:tr>
      <w:tc>
        <w:tcPr>
          <w:tcW w:type="pct" w:w="3500"/>
        </w:tcPr>
        <w:p>
          <w:r>
            <w:rPr>
              <w:color w:val="64748B"/>
              <w:sz w:val="14"/>
              <w:szCs w:val="14"/>
            </w:rPr>
            <w:t xml:space="preserve">TERM-01 | OdontoCloud Colombia — BORRADOR PARA REVISIÓN Y ADHESIÓN COMERCIAL</w:t>
          </w:r>
        </w:p>
      </w:tc>
      <w:tc>
        <w:tcPr>
          <w:tcW w:type="pct" w:w="1500"/>
        </w:tcPr>
        <w:p>
          <w:pPr>
            <w:jc w:val="right"/>
          </w:pPr>
          <w:r>
            <w:rPr>
              <w:color w:val="64748B"/>
              <w:sz w:val="14"/>
              <w:szCs w:val="14"/>
            </w:rPr>
            <w:t xml:space="preserve">Página </w:t>
          </w:r>
          <w:r>
            <w:rPr>
              <w:b/>
              <w:bCs/>
              <w:color w:val="64748B"/>
              <w:sz w:val="14"/>
              <w:szCs w:val="14"/>
            </w:rPr>
            <w:fldChar w:fldCharType="begin"/>
            <w:instrText xml:space="preserve">PAGE</w:instrText>
            <w:fldChar w:fldCharType="separate"/>
            <w:fldChar w:fldCharType="end"/>
          </w:r>
          <w:r>
            <w:rPr>
              <w:color w:val="64748B"/>
              <w:sz w:val="14"/>
              <w:szCs w:val="14"/>
            </w:rPr>
            <w:t xml:space="preserve"> de </w:t>
          </w:r>
          <w:r>
            <w:rPr>
              <w:b/>
              <w:bCs/>
              <w:color w:val="64748B"/>
              <w:sz w:val="14"/>
              <w:szCs w:val="14"/>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D9488"/>
        <w:sz w:val="15"/>
        <w:szCs w:val="15"/>
      </w:rPr>
      <w:t xml:space="preserve">OdontoCloud Colombia | TERM-01 — Versión 2026.1</w:t>
    </w:r>
    <w:r>
      <w:rPr>
        <w:color w:val="64748B"/>
        <w:sz w:val="14"/>
        <w:szCs w:val="14"/>
      </w:rPr>
      <w:t xml:space="preserve">  •  Documentación Institucional Oficial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237e35a04e1c19cc44619e976cb65ae4a37806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TERM-01 — TÉRMINOS Y CONDICIONES GENERALES DE USO DEL SERVICIO SAAS</dc:title>
  <dc:creator>OdontoCloud Colombia</dc:creator>
  <dc:description>Condiciones Generales de Contratación, Licenciamiento, Nivel de Servicio, Régimen de Custodia y Tratamiento Posterior de Datos</dc:description>
  <cp:lastModifiedBy>Un-named</cp:lastModifiedBy>
  <cp:revision>1</cp:revision>
  <dcterms:created xsi:type="dcterms:W3CDTF">2026-10-14T22:36:39.866Z</dcterms:created>
  <dcterms:modified xsi:type="dcterms:W3CDTF">2026-10-14T22:36:39.866Z</dcterms:modified>
</cp:coreProperties>
</file>

<file path=docProps/custom.xml><?xml version="1.0" encoding="utf-8"?>
<Properties xmlns="http://schemas.openxmlformats.org/officeDocument/2006/custom-properties" xmlns:vt="http://schemas.openxmlformats.org/officeDocument/2006/docPropsVTypes"/>
</file>