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5CDFA" w14:textId="77777777" w:rsidR="00AA2D1F" w:rsidRDefault="00F7165B">
      <w:pPr>
        <w:pStyle w:val="Ttulo1"/>
        <w:spacing w:after="30"/>
        <w:jc w:val="center"/>
      </w:pPr>
      <w:r>
        <w:rPr>
          <w:rFonts w:ascii="Segoe UI" w:eastAsia="Segoe UI" w:hAnsi="Segoe UI" w:cs="Segoe UI"/>
          <w:b/>
          <w:bCs/>
          <w:color w:val="0F2942"/>
          <w:sz w:val="23"/>
          <w:szCs w:val="23"/>
        </w:rPr>
        <w:t>PROTOCOLO DE SEGURIDAD DE LA INFORMACIÓN Y RESPALDO CLOUD</w:t>
      </w:r>
    </w:p>
    <w:p w14:paraId="544BE322" w14:textId="3E299154" w:rsidR="00AA2D1F" w:rsidRDefault="00F7165B">
      <w:pPr>
        <w:spacing w:after="70"/>
        <w:jc w:val="center"/>
      </w:pPr>
      <w:r>
        <w:rPr>
          <w:rFonts w:ascii="Segoe UI" w:eastAsia="Segoe UI" w:hAnsi="Segoe UI" w:cs="Segoe UI"/>
          <w:color w:val="475569"/>
          <w:sz w:val="16"/>
          <w:szCs w:val="16"/>
        </w:rPr>
        <w:t xml:space="preserve">Directrices Técnicas de Seguridad Lógica, Cifrado, Respaldos Transaccionales y Continuidad Operativa </w:t>
      </w:r>
      <w:proofErr w:type="spellStart"/>
      <w:r>
        <w:rPr>
          <w:rFonts w:ascii="Segoe UI" w:eastAsia="Segoe UI" w:hAnsi="Segoe UI" w:cs="Segoe UI"/>
          <w:color w:val="475569"/>
          <w:sz w:val="16"/>
          <w:szCs w:val="16"/>
        </w:rPr>
        <w:t>OdontoCloud</w:t>
      </w:r>
      <w:proofErr w:type="spellEnd"/>
      <w:r>
        <w:rPr>
          <w:rFonts w:ascii="Segoe UI" w:eastAsia="Segoe UI" w:hAnsi="Segoe UI" w:cs="Segoe UI"/>
          <w:color w:val="475569"/>
          <w:sz w:val="16"/>
          <w:szCs w:val="16"/>
        </w:rPr>
        <w:t xml:space="preserve"> </w:t>
      </w:r>
    </w:p>
    <w:p w14:paraId="232022E2" w14:textId="77777777" w:rsidR="00AA2D1F" w:rsidRDefault="00AA2D1F">
      <w:pPr>
        <w:spacing w:after="40"/>
      </w:pPr>
    </w:p>
    <w:p w14:paraId="22E70A13" w14:textId="77777777" w:rsidR="00AA2D1F" w:rsidRDefault="00F7165B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1. OBJETIVO Y ALCANCE DEL PROTOCOLO</w:t>
      </w:r>
    </w:p>
    <w:p w14:paraId="147A49CE" w14:textId="77777777" w:rsidR="00AA2D1F" w:rsidRDefault="00F7165B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Establecer las medidas técnicas, controles organizativos y procedimientos de seguridad lógica y respaldo aplicados en la plataforma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OdontoCloud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Colombia para salvaguardar la confidencialidad, integridad, autenticidad y disponibilidad de la información clín</w:t>
      </w:r>
      <w:r>
        <w:rPr>
          <w:rFonts w:ascii="Segoe UI" w:eastAsia="Segoe UI" w:hAnsi="Segoe UI" w:cs="Segoe UI"/>
          <w:color w:val="1E293B"/>
          <w:sz w:val="19"/>
          <w:szCs w:val="19"/>
        </w:rPr>
        <w:t>ica y administrativa de las IPS y consultorios odontológicos.</w:t>
      </w:r>
    </w:p>
    <w:p w14:paraId="326E2194" w14:textId="77777777" w:rsidR="00AA2D1F" w:rsidRDefault="00F7165B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2. ARQUITECTURA DE INFRAESTRUCTURA CLOUD Y REDES SEGURAS</w:t>
      </w:r>
    </w:p>
    <w:p w14:paraId="460AF804" w14:textId="77777777" w:rsidR="00AA2D1F" w:rsidRDefault="00F7165B">
      <w:pPr>
        <w:spacing w:after="60" w:line="260" w:lineRule="auto"/>
        <w:jc w:val="both"/>
      </w:pP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OdontoCloud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opera bajo el modelo Software as a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Service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(SaaS) desplegado sobre servidores virtuales privados (VPS) dedicados con sistema </w:t>
      </w:r>
      <w:r>
        <w:rPr>
          <w:rFonts w:ascii="Segoe UI" w:eastAsia="Segoe UI" w:hAnsi="Segoe UI" w:cs="Segoe UI"/>
          <w:color w:val="1E293B"/>
          <w:sz w:val="19"/>
          <w:szCs w:val="19"/>
        </w:rPr>
        <w:t>operativo empresarial Oracle Linux, gestionados mediante contenedores Docker aislados. Los componentes del sistema (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frontend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web interactivo,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backend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de microservicios y base de datos relacional) se interconectan en redes internas segmentadas sin exposició</w:t>
      </w:r>
      <w:r>
        <w:rPr>
          <w:rFonts w:ascii="Segoe UI" w:eastAsia="Segoe UI" w:hAnsi="Segoe UI" w:cs="Segoe UI"/>
          <w:color w:val="1E293B"/>
          <w:sz w:val="19"/>
          <w:szCs w:val="19"/>
        </w:rPr>
        <w:t>n innecesaria de puertos directos a internet público.</w:t>
      </w:r>
    </w:p>
    <w:p w14:paraId="2DD995B5" w14:textId="77777777" w:rsidR="00AA2D1F" w:rsidRDefault="00F7165B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Toda comunicación de los usuarios se canaliza a través de un proxy inverso seguro que aplica cifrado obligatorio en tránsito mediante protocolo HTTPS con certificados TLS 1.3 de última generación y suit</w:t>
      </w:r>
      <w:r>
        <w:rPr>
          <w:rFonts w:ascii="Segoe UI" w:eastAsia="Segoe UI" w:hAnsi="Segoe UI" w:cs="Segoe UI"/>
          <w:color w:val="1E293B"/>
          <w:sz w:val="19"/>
          <w:szCs w:val="19"/>
        </w:rPr>
        <w:t>es criptográficas robustas.</w:t>
      </w:r>
    </w:p>
    <w:p w14:paraId="0F511BF2" w14:textId="77777777" w:rsidR="00AA2D1F" w:rsidRDefault="00F7165B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3. AISLAMIENTO LÓGICO MULTI-INQUILINO (MULTI-TENANT RLS)</w:t>
      </w:r>
    </w:p>
    <w:p w14:paraId="35A9C890" w14:textId="77777777" w:rsidR="00AA2D1F" w:rsidRDefault="00F7165B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La segregación de historias clínicas entre diferentes instituciones se implementa a nivel de motor de base de datos relacional PostgreSQL activando políticas de seguridad a nivel de fila (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Row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Level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Security - RLS). Toda consulta o transacción valida el ide</w:t>
      </w:r>
      <w:r>
        <w:rPr>
          <w:rFonts w:ascii="Segoe UI" w:eastAsia="Segoe UI" w:hAnsi="Segoe UI" w:cs="Segoe UI"/>
          <w:color w:val="1E293B"/>
          <w:sz w:val="19"/>
          <w:szCs w:val="19"/>
        </w:rPr>
        <w:t>ntificador institucional único (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organization_id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>) derivado del token JWT criptográfico del usuario autenticado, impidiendo cualquier acceso o visibilidad de datos entre clínicas.</w:t>
      </w:r>
    </w:p>
    <w:p w14:paraId="4D801840" w14:textId="77777777" w:rsidR="00AA2D1F" w:rsidRDefault="00F7165B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4. POLÍTICA VERIFICABLE DE RESPALDOS LÓGICOS Y RESTAURACIÓN</w:t>
      </w:r>
    </w:p>
    <w:p w14:paraId="462F2438" w14:textId="77777777" w:rsidR="00AA2D1F" w:rsidRDefault="00F7165B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• Respaldo Lógico 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Automatizado: Se ejecutan copias periódicas de la base de datos relacional mediante la herramienta estándar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pg_dump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en formato binario comprimido </w:t>
      </w:r>
      <w:proofErr w:type="gramStart"/>
      <w:r>
        <w:rPr>
          <w:rFonts w:ascii="Segoe UI" w:eastAsia="Segoe UI" w:hAnsi="Segoe UI" w:cs="Segoe UI"/>
          <w:color w:val="1E293B"/>
          <w:sz w:val="19"/>
          <w:szCs w:val="19"/>
        </w:rPr>
        <w:t>(.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Fc</w:t>
      </w:r>
      <w:proofErr w:type="spellEnd"/>
      <w:proofErr w:type="gramEnd"/>
      <w:r>
        <w:rPr>
          <w:rFonts w:ascii="Segoe UI" w:eastAsia="Segoe UI" w:hAnsi="Segoe UI" w:cs="Segoe UI"/>
          <w:color w:val="1E293B"/>
          <w:sz w:val="19"/>
          <w:szCs w:val="19"/>
        </w:rPr>
        <w:t>) sobre el servidor host asignado.</w:t>
      </w:r>
    </w:p>
    <w:p w14:paraId="198D5170" w14:textId="77777777" w:rsidR="00AA2D1F" w:rsidRDefault="00F7165B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• Integridad y Recuperación: Las copias capturan el estado transacciona</w:t>
      </w:r>
      <w:r>
        <w:rPr>
          <w:rFonts w:ascii="Segoe UI" w:eastAsia="Segoe UI" w:hAnsi="Segoe UI" w:cs="Segoe UI"/>
          <w:color w:val="1E293B"/>
          <w:sz w:val="19"/>
          <w:szCs w:val="19"/>
        </w:rPr>
        <w:t>l consistente de las historias clínicas, odontogramas y facturación. El procedimiento documentado de restauración se realiza mediante utilidades estándar (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pg_restore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>).</w:t>
      </w:r>
    </w:p>
    <w:p w14:paraId="28C7A3DF" w14:textId="3D5AB2FD" w:rsidR="00AA2D1F" w:rsidRDefault="00F7165B" w:rsidP="005F3804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• Delimitación Técnica Honesta: El sistema cuenta con copias de seguridad lógicas en el 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servidor host; no cuenta con replicación geográfica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multi-nube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redundante en tiempo real. Por lo anterior, la IPS mantiene el deber y la facultad indelegable de realizar sus propias descargas periódicas locales mediante los módulos de exportación.</w:t>
      </w:r>
    </w:p>
    <w:p w14:paraId="0DE66C7E" w14:textId="77777777" w:rsidR="00AA2D1F" w:rsidRDefault="00F7165B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5. CON</w:t>
      </w: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TROLES DE ACCESO, AUTENTICACIÓN Y CREDENCIALES</w:t>
      </w:r>
    </w:p>
    <w:p w14:paraId="5BDCE661" w14:textId="77777777" w:rsidR="00AA2D1F" w:rsidRDefault="00F7165B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El acceso se rige por un esquema de control de roles (RBAC): Administrador (gestión institucional), Odontólogo/Especialista (asistencia clínica, odontograma y adendas) y Recepción/Admisiones (citas y datos dem</w:t>
      </w:r>
      <w:r>
        <w:rPr>
          <w:rFonts w:ascii="Segoe UI" w:eastAsia="Segoe UI" w:hAnsi="Segoe UI" w:cs="Segoe UI"/>
          <w:color w:val="1E293B"/>
          <w:sz w:val="19"/>
          <w:szCs w:val="19"/>
        </w:rPr>
        <w:t>ográficos, sin acceso a la nota clínica reservada). Es responsabilidad estricta de la clínica custodiar las credenciales; se prohíbe el uso de cuentas compartidas.</w:t>
      </w:r>
    </w:p>
    <w:p w14:paraId="447EF174" w14:textId="77777777" w:rsidR="00AA2D1F" w:rsidRDefault="00F7165B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6. CONTINGENCIA ASISTENCIAL, TRAZABILIDAD Y BITÁCORAS</w:t>
      </w:r>
    </w:p>
    <w:p w14:paraId="5501BD4A" w14:textId="355946ED" w:rsidR="00AA2D1F" w:rsidRDefault="00F7165B">
      <w:pPr>
        <w:spacing w:after="60" w:line="260" w:lineRule="auto"/>
        <w:jc w:val="both"/>
        <w:rPr>
          <w:rFonts w:ascii="Segoe UI" w:eastAsia="Segoe UI" w:hAnsi="Segoe UI" w:cs="Segoe UI"/>
          <w:color w:val="1E293B"/>
          <w:sz w:val="19"/>
          <w:szCs w:val="19"/>
        </w:rPr>
      </w:pPr>
      <w:r>
        <w:rPr>
          <w:rFonts w:ascii="Segoe UI" w:eastAsia="Segoe UI" w:hAnsi="Segoe UI" w:cs="Segoe UI"/>
          <w:color w:val="1E293B"/>
          <w:sz w:val="19"/>
          <w:szCs w:val="19"/>
        </w:rPr>
        <w:t>El sistema registra bitácoras de auditoría de eventos críticos. Se aclara que actualmente no existe un módulo automatizado de Break-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Glass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en la interfaz; contingencias asistenciales extraordinarias se t</w:t>
      </w:r>
      <w:r>
        <w:rPr>
          <w:rFonts w:ascii="Segoe UI" w:eastAsia="Segoe UI" w:hAnsi="Segoe UI" w:cs="Segoe UI"/>
          <w:color w:val="1E293B"/>
          <w:sz w:val="19"/>
          <w:szCs w:val="19"/>
        </w:rPr>
        <w:t>ramitan mediante soporte administrativo con registro manual en bitácora.</w:t>
      </w:r>
    </w:p>
    <w:p w14:paraId="3D02D108" w14:textId="3019FF11" w:rsidR="00791A85" w:rsidRDefault="00791A85">
      <w:pPr>
        <w:spacing w:after="60" w:line="260" w:lineRule="auto"/>
        <w:jc w:val="both"/>
        <w:rPr>
          <w:rFonts w:ascii="Segoe UI" w:eastAsia="Segoe UI" w:hAnsi="Segoe UI" w:cs="Segoe UI"/>
          <w:color w:val="1E293B"/>
          <w:sz w:val="19"/>
          <w:szCs w:val="19"/>
        </w:rPr>
      </w:pPr>
    </w:p>
    <w:p w14:paraId="705AFCE0" w14:textId="6DA40513" w:rsidR="00791A85" w:rsidRDefault="00791A85">
      <w:pPr>
        <w:spacing w:after="60" w:line="260" w:lineRule="auto"/>
        <w:jc w:val="both"/>
        <w:rPr>
          <w:rFonts w:ascii="Segoe UI" w:eastAsia="Segoe UI" w:hAnsi="Segoe UI" w:cs="Segoe UI"/>
          <w:color w:val="1E293B"/>
          <w:sz w:val="19"/>
          <w:szCs w:val="19"/>
        </w:rPr>
      </w:pPr>
    </w:p>
    <w:p w14:paraId="486392BA" w14:textId="2F00C7E8" w:rsidR="00791A85" w:rsidRDefault="00791A85">
      <w:pPr>
        <w:spacing w:after="60" w:line="260" w:lineRule="auto"/>
        <w:jc w:val="both"/>
        <w:rPr>
          <w:rFonts w:ascii="Segoe UI" w:eastAsia="Segoe UI" w:hAnsi="Segoe UI" w:cs="Segoe UI"/>
          <w:color w:val="1E293B"/>
          <w:sz w:val="19"/>
          <w:szCs w:val="19"/>
        </w:rPr>
      </w:pPr>
    </w:p>
    <w:p w14:paraId="4C01DD0E" w14:textId="7E8A50C0" w:rsidR="00791A85" w:rsidRDefault="00791A85">
      <w:pPr>
        <w:spacing w:after="60" w:line="260" w:lineRule="auto"/>
        <w:jc w:val="both"/>
        <w:rPr>
          <w:rFonts w:ascii="Segoe UI" w:eastAsia="Segoe UI" w:hAnsi="Segoe UI" w:cs="Segoe UI"/>
          <w:color w:val="1E293B"/>
          <w:sz w:val="19"/>
          <w:szCs w:val="19"/>
        </w:rPr>
      </w:pPr>
    </w:p>
    <w:p w14:paraId="1B48E0D2" w14:textId="55E5908F" w:rsidR="00791A85" w:rsidRDefault="00791A85">
      <w:pPr>
        <w:spacing w:after="60" w:line="260" w:lineRule="auto"/>
        <w:jc w:val="both"/>
        <w:rPr>
          <w:rFonts w:ascii="Segoe UI" w:eastAsia="Segoe UI" w:hAnsi="Segoe UI" w:cs="Segoe UI"/>
          <w:color w:val="1E293B"/>
          <w:sz w:val="19"/>
          <w:szCs w:val="19"/>
        </w:rPr>
      </w:pPr>
    </w:p>
    <w:p w14:paraId="62E7A799" w14:textId="77777777" w:rsidR="00791A85" w:rsidRDefault="00791A85">
      <w:pPr>
        <w:spacing w:after="60" w:line="260" w:lineRule="auto"/>
        <w:jc w:val="both"/>
      </w:pPr>
    </w:p>
    <w:p w14:paraId="3EC7AB08" w14:textId="77777777" w:rsidR="00AA2D1F" w:rsidRDefault="00F7165B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lastRenderedPageBreak/>
        <w:t>7. GESTIÓN DE INCIDENTES DE SEGURIDAD Y NOTIFICACIÓN EN 24 HORAS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12"/>
      </w:tblGrid>
      <w:tr w:rsidR="00AA2D1F" w14:paraId="5164E9D1" w14:textId="77777777" w:rsidTr="004F4103">
        <w:trPr>
          <w:cantSplit/>
        </w:trPr>
        <w:tc>
          <w:tcPr>
            <w:tcW w:w="5000" w:type="pct"/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5303AF2F" w14:textId="77777777" w:rsidR="00791A85" w:rsidRDefault="00F7165B" w:rsidP="00791A85">
            <w:pPr>
              <w:spacing w:after="20"/>
              <w:rPr>
                <w:rFonts w:ascii="Segoe UI" w:eastAsia="Segoe UI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Segoe UI" w:hAnsi="Segoe UI" w:cs="Segoe UI"/>
                <w:color w:val="1E293B"/>
                <w:sz w:val="19"/>
                <w:szCs w:val="19"/>
              </w:rPr>
              <w:t xml:space="preserve">Ante cualquier brecha confirmada de seguridad sobre datos personales o de salud, </w:t>
            </w:r>
            <w:proofErr w:type="spellStart"/>
            <w:r>
              <w:rPr>
                <w:rFonts w:ascii="Segoe UI" w:eastAsia="Segoe UI" w:hAnsi="Segoe UI" w:cs="Segoe UI"/>
                <w:color w:val="1E293B"/>
                <w:sz w:val="19"/>
                <w:szCs w:val="19"/>
              </w:rPr>
              <w:t>OdontoCloud</w:t>
            </w:r>
            <w:proofErr w:type="spellEnd"/>
            <w:r>
              <w:rPr>
                <w:rFonts w:ascii="Segoe UI" w:eastAsia="Segoe UI" w:hAnsi="Segoe UI" w:cs="Segoe UI"/>
                <w:color w:val="1E293B"/>
                <w:sz w:val="19"/>
                <w:szCs w:val="19"/>
              </w:rPr>
              <w:t xml:space="preserve"> notificará formalmente al</w:t>
            </w:r>
            <w:r>
              <w:rPr>
                <w:rFonts w:ascii="Segoe UI" w:eastAsia="Segoe UI" w:hAnsi="Segoe UI" w:cs="Segoe UI"/>
                <w:color w:val="1E293B"/>
                <w:sz w:val="19"/>
                <w:szCs w:val="19"/>
              </w:rPr>
              <w:t xml:space="preserve"> Representante Legal de la IPS afectada dentro de las veinticuatro (24) horas siguientes a su confirmación técnica (Ley 1581 de 2012)</w:t>
            </w:r>
            <w:r w:rsidR="00791A85">
              <w:rPr>
                <w:rFonts w:ascii="Segoe UI" w:eastAsia="Segoe UI" w:hAnsi="Segoe UI" w:cs="Segoe UI"/>
                <w:color w:val="1E293B"/>
                <w:sz w:val="19"/>
                <w:szCs w:val="19"/>
              </w:rPr>
              <w:t>.</w:t>
            </w:r>
          </w:p>
          <w:p w14:paraId="5CFFD62D" w14:textId="77777777" w:rsidR="00791A85" w:rsidRDefault="00791A85" w:rsidP="00791A85">
            <w:pPr>
              <w:spacing w:after="20"/>
              <w:rPr>
                <w:b/>
                <w:bCs/>
                <w:color w:val="0F2942"/>
                <w:sz w:val="14"/>
                <w:szCs w:val="14"/>
              </w:rPr>
            </w:pPr>
          </w:p>
          <w:p w14:paraId="6DFA8EEE" w14:textId="6C1576C4" w:rsidR="00791A85" w:rsidRDefault="00791A85" w:rsidP="00791A85">
            <w:pPr>
              <w:spacing w:after="20"/>
              <w:rPr>
                <w:b/>
                <w:bCs/>
                <w:color w:val="0F2942"/>
                <w:sz w:val="14"/>
                <w:szCs w:val="14"/>
              </w:rPr>
            </w:pPr>
          </w:p>
          <w:p w14:paraId="0E7A2369" w14:textId="77777777" w:rsidR="00791A85" w:rsidRDefault="00791A85" w:rsidP="00791A85">
            <w:pPr>
              <w:spacing w:after="20"/>
              <w:rPr>
                <w:b/>
                <w:bCs/>
                <w:color w:val="0F2942"/>
                <w:sz w:val="14"/>
                <w:szCs w:val="14"/>
              </w:rPr>
            </w:pPr>
          </w:p>
          <w:p w14:paraId="77A5F948" w14:textId="77777777" w:rsidR="00791A85" w:rsidRDefault="00791A85" w:rsidP="00791A85">
            <w:pPr>
              <w:spacing w:after="20"/>
              <w:rPr>
                <w:b/>
                <w:bCs/>
                <w:color w:val="0F2942"/>
                <w:sz w:val="14"/>
                <w:szCs w:val="14"/>
              </w:rPr>
            </w:pPr>
          </w:p>
          <w:p w14:paraId="53101A07" w14:textId="7EAD1D53" w:rsidR="005F3804" w:rsidRDefault="00F7165B" w:rsidP="00791A85">
            <w:pPr>
              <w:spacing w:after="20"/>
              <w:rPr>
                <w:b/>
                <w:bCs/>
                <w:color w:val="0F2942"/>
                <w:sz w:val="14"/>
                <w:szCs w:val="14"/>
              </w:rPr>
            </w:pPr>
            <w:r>
              <w:rPr>
                <w:b/>
                <w:bCs/>
                <w:color w:val="0F2942"/>
                <w:sz w:val="14"/>
                <w:szCs w:val="14"/>
              </w:rPr>
              <w:t>RESPONSABLE DE ARQUITECTURA TECNOLÓGICA Y SEGURIDAD:</w:t>
            </w:r>
          </w:p>
          <w:p w14:paraId="45D71B4E" w14:textId="77777777" w:rsidR="00791A85" w:rsidRPr="00791A85" w:rsidRDefault="00791A85" w:rsidP="00791A85">
            <w:pPr>
              <w:spacing w:after="20"/>
            </w:pPr>
          </w:p>
          <w:p w14:paraId="16E493F9" w14:textId="1D048FDF" w:rsidR="00AA2D1F" w:rsidRDefault="00F7165B">
            <w:r>
              <w:rPr>
                <w:color w:val="64748B"/>
                <w:sz w:val="14"/>
                <w:szCs w:val="14"/>
              </w:rPr>
              <w:t>________________________</w:t>
            </w:r>
            <w:r>
              <w:rPr>
                <w:color w:val="64748B"/>
                <w:sz w:val="14"/>
                <w:szCs w:val="14"/>
              </w:rPr>
              <w:t>___________________</w:t>
            </w:r>
          </w:p>
          <w:p w14:paraId="5A0D80A9" w14:textId="15EB92E1" w:rsidR="00AA2D1F" w:rsidRPr="005F3804" w:rsidRDefault="00F7165B">
            <w:pPr>
              <w:rPr>
                <w:color w:val="475569"/>
                <w:sz w:val="13"/>
                <w:szCs w:val="13"/>
              </w:rPr>
            </w:pPr>
            <w:r>
              <w:rPr>
                <w:b/>
                <w:bCs/>
                <w:color w:val="0F2942"/>
                <w:sz w:val="15"/>
                <w:szCs w:val="15"/>
              </w:rPr>
              <w:t>JUAN EDUARDO MADRID REQ</w:t>
            </w:r>
            <w:r>
              <w:rPr>
                <w:b/>
                <w:bCs/>
                <w:color w:val="0F2942"/>
                <w:sz w:val="15"/>
                <w:szCs w:val="15"/>
              </w:rPr>
              <w:t>UENA</w:t>
            </w:r>
            <w:r w:rsidR="005F3804">
              <w:rPr>
                <w:b/>
                <w:bCs/>
                <w:color w:val="0F2942"/>
                <w:sz w:val="15"/>
                <w:szCs w:val="15"/>
              </w:rPr>
              <w:br/>
            </w:r>
            <w:r w:rsidR="005F3804">
              <w:rPr>
                <w:color w:val="475569"/>
                <w:sz w:val="13"/>
                <w:szCs w:val="13"/>
              </w:rPr>
              <w:t xml:space="preserve">NIT: 1102849760-5 </w:t>
            </w:r>
          </w:p>
          <w:p w14:paraId="530DBEFE" w14:textId="19129209" w:rsidR="00AA2D1F" w:rsidRPr="005F3804" w:rsidRDefault="00F7165B">
            <w:pPr>
              <w:rPr>
                <w:color w:val="475569"/>
                <w:sz w:val="13"/>
                <w:szCs w:val="13"/>
              </w:rPr>
            </w:pPr>
            <w:r>
              <w:rPr>
                <w:color w:val="475569"/>
                <w:sz w:val="13"/>
                <w:szCs w:val="13"/>
              </w:rPr>
              <w:t>Titular y Desarrol</w:t>
            </w:r>
            <w:r>
              <w:rPr>
                <w:color w:val="475569"/>
                <w:sz w:val="13"/>
                <w:szCs w:val="13"/>
              </w:rPr>
              <w:t>l</w:t>
            </w:r>
            <w:r>
              <w:rPr>
                <w:color w:val="475569"/>
                <w:sz w:val="13"/>
                <w:szCs w:val="13"/>
              </w:rPr>
              <w:t>a</w:t>
            </w:r>
            <w:r>
              <w:rPr>
                <w:color w:val="475569"/>
                <w:sz w:val="13"/>
                <w:szCs w:val="13"/>
              </w:rPr>
              <w:t>d</w:t>
            </w:r>
            <w:r>
              <w:rPr>
                <w:color w:val="475569"/>
                <w:sz w:val="13"/>
                <w:szCs w:val="13"/>
              </w:rPr>
              <w:t>o</w:t>
            </w:r>
            <w:r>
              <w:rPr>
                <w:color w:val="475569"/>
                <w:sz w:val="13"/>
                <w:szCs w:val="13"/>
              </w:rPr>
              <w:t>r</w:t>
            </w:r>
            <w:r>
              <w:rPr>
                <w:color w:val="475569"/>
                <w:sz w:val="13"/>
                <w:szCs w:val="13"/>
              </w:rPr>
              <w:t xml:space="preserve"> </w:t>
            </w:r>
            <w:proofErr w:type="spellStart"/>
            <w:r w:rsidR="005F3804">
              <w:rPr>
                <w:color w:val="475569"/>
                <w:sz w:val="13"/>
                <w:szCs w:val="13"/>
              </w:rPr>
              <w:t>OdontoCloud</w:t>
            </w:r>
            <w:proofErr w:type="spellEnd"/>
            <w:r w:rsidR="005F3804">
              <w:rPr>
                <w:color w:val="475569"/>
                <w:sz w:val="13"/>
                <w:szCs w:val="13"/>
              </w:rPr>
              <w:t xml:space="preserve"> Colombia</w:t>
            </w:r>
            <w:r w:rsidR="005F3804">
              <w:rPr>
                <w:color w:val="475569"/>
                <w:sz w:val="13"/>
                <w:szCs w:val="13"/>
              </w:rPr>
              <w:br/>
            </w:r>
            <w:r>
              <w:rPr>
                <w:color w:val="475569"/>
                <w:sz w:val="13"/>
                <w:szCs w:val="13"/>
              </w:rPr>
              <w:t xml:space="preserve">Canal Técnico: </w:t>
            </w:r>
            <w:bookmarkStart w:id="0" w:name="_Hlk242900663"/>
            <w:r>
              <w:rPr>
                <w:color w:val="475569"/>
                <w:sz w:val="13"/>
                <w:szCs w:val="13"/>
              </w:rPr>
              <w:t>odontocloudcolombia</w:t>
            </w:r>
            <w:r w:rsidR="005F3804">
              <w:rPr>
                <w:color w:val="475569"/>
                <w:sz w:val="13"/>
                <w:szCs w:val="13"/>
              </w:rPr>
              <w:t>@gmail</w:t>
            </w:r>
            <w:r>
              <w:rPr>
                <w:color w:val="475569"/>
                <w:sz w:val="13"/>
                <w:szCs w:val="13"/>
              </w:rPr>
              <w:t>.com</w:t>
            </w:r>
            <w:bookmarkEnd w:id="0"/>
          </w:p>
        </w:tc>
      </w:tr>
    </w:tbl>
    <w:p w14:paraId="276AE512" w14:textId="77777777" w:rsidR="00F7165B" w:rsidRDefault="00F7165B"/>
    <w:sectPr w:rsidR="00F7165B">
      <w:headerReference w:type="default" r:id="rId7"/>
      <w:footerReference w:type="default" r:id="rId8"/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09EFA" w14:textId="77777777" w:rsidR="00F7165B" w:rsidRDefault="00F7165B">
      <w:r>
        <w:separator/>
      </w:r>
    </w:p>
  </w:endnote>
  <w:endnote w:type="continuationSeparator" w:id="0">
    <w:p w14:paraId="61D32C3F" w14:textId="77777777" w:rsidR="00F7165B" w:rsidRDefault="00F71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30A4" w14:textId="77777777" w:rsidR="00AA2D1F" w:rsidRDefault="00F7165B">
    <w:pPr>
      <w:jc w:val="right"/>
    </w:pPr>
    <w:r>
      <w:rPr>
        <w:rFonts w:ascii="Segoe UI" w:eastAsia="Segoe UI" w:hAnsi="Segoe UI" w:cs="Segoe UI"/>
        <w:color w:val="64748B"/>
        <w:sz w:val="14"/>
        <w:szCs w:val="14"/>
      </w:rPr>
      <w:t xml:space="preserve">PROT-01 — Página 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begin"/>
    </w:r>
    <w:r>
      <w:rPr>
        <w:rFonts w:ascii="Segoe UI" w:eastAsia="Segoe UI" w:hAnsi="Segoe UI" w:cs="Segoe UI"/>
        <w:b/>
        <w:bCs/>
        <w:color w:val="64748B"/>
        <w:sz w:val="14"/>
        <w:szCs w:val="14"/>
      </w:rPr>
      <w:instrText>PAGE</w:instrTex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separate"/>
    </w:r>
    <w:r w:rsidR="004F4103">
      <w:rPr>
        <w:rFonts w:ascii="Segoe UI" w:eastAsia="Segoe UI" w:hAnsi="Segoe UI" w:cs="Segoe UI"/>
        <w:b/>
        <w:bCs/>
        <w:noProof/>
        <w:color w:val="64748B"/>
        <w:sz w:val="14"/>
        <w:szCs w:val="14"/>
      </w:rPr>
      <w:t>1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end"/>
    </w:r>
    <w:r>
      <w:rPr>
        <w:rFonts w:ascii="Segoe UI" w:eastAsia="Segoe UI" w:hAnsi="Segoe UI" w:cs="Segoe UI"/>
        <w:color w:val="64748B"/>
        <w:sz w:val="14"/>
        <w:szCs w:val="14"/>
      </w:rPr>
      <w:t xml:space="preserve"> de 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begin"/>
    </w:r>
    <w:r>
      <w:rPr>
        <w:rFonts w:ascii="Segoe UI" w:eastAsia="Segoe UI" w:hAnsi="Segoe UI" w:cs="Segoe UI"/>
        <w:b/>
        <w:bCs/>
        <w:color w:val="64748B"/>
        <w:sz w:val="14"/>
        <w:szCs w:val="14"/>
      </w:rPr>
      <w:instrText>NUMPAGES</w:instrTex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separate"/>
    </w:r>
    <w:r w:rsidR="004F4103">
      <w:rPr>
        <w:rFonts w:ascii="Segoe UI" w:eastAsia="Segoe UI" w:hAnsi="Segoe UI" w:cs="Segoe UI"/>
        <w:b/>
        <w:bCs/>
        <w:noProof/>
        <w:color w:val="64748B"/>
        <w:sz w:val="14"/>
        <w:szCs w:val="14"/>
      </w:rPr>
      <w:t>2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091AA" w14:textId="77777777" w:rsidR="00F7165B" w:rsidRDefault="00F7165B">
      <w:r>
        <w:separator/>
      </w:r>
    </w:p>
  </w:footnote>
  <w:footnote w:type="continuationSeparator" w:id="0">
    <w:p w14:paraId="3D02F116" w14:textId="77777777" w:rsidR="00F7165B" w:rsidRDefault="00F71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2" w:space="0" w:color="0F2942"/>
      </w:tblBorders>
      <w:tblLook w:val="04A0" w:firstRow="1" w:lastRow="0" w:firstColumn="1" w:lastColumn="0" w:noHBand="0" w:noVBand="1"/>
    </w:tblPr>
    <w:tblGrid>
      <w:gridCol w:w="1130"/>
      <w:gridCol w:w="5082"/>
      <w:gridCol w:w="3200"/>
    </w:tblGrid>
    <w:tr w:rsidR="004F4103" w14:paraId="5B328BDD" w14:textId="77777777" w:rsidTr="004C0A1D">
      <w:trPr>
        <w:cantSplit/>
      </w:trPr>
      <w:tc>
        <w:tcPr>
          <w:tcW w:w="600" w:type="pct"/>
        </w:tcPr>
        <w:p w14:paraId="04918598" w14:textId="77777777" w:rsidR="004F4103" w:rsidRDefault="004F4103" w:rsidP="004F4103">
          <w:r>
            <w:rPr>
              <w:noProof/>
            </w:rPr>
            <w:drawing>
              <wp:inline distT="0" distB="0" distL="0" distR="0" wp14:anchorId="3D2C9386" wp14:editId="72244748">
                <wp:extent cx="457200" cy="45720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0" w:type="pct"/>
        </w:tcPr>
        <w:p w14:paraId="5DBED9A1" w14:textId="77777777" w:rsidR="004F4103" w:rsidRDefault="004F4103" w:rsidP="004F4103">
          <w:r>
            <w:rPr>
              <w:rFonts w:ascii="Segoe UI" w:eastAsia="Segoe UI" w:hAnsi="Segoe UI" w:cs="Segoe UI"/>
              <w:b/>
              <w:bCs/>
              <w:color w:val="0F2942"/>
              <w:sz w:val="21"/>
              <w:szCs w:val="21"/>
            </w:rPr>
            <w:t>ODONTOCLOUD COLOMBIA</w:t>
          </w:r>
        </w:p>
        <w:p w14:paraId="7DAFE547" w14:textId="77777777" w:rsidR="004F4103" w:rsidRDefault="004F4103" w:rsidP="004F4103">
          <w:r>
            <w:rPr>
              <w:rFonts w:ascii="Segoe UI" w:eastAsia="Segoe UI" w:hAnsi="Segoe UI" w:cs="Segoe UI"/>
              <w:b/>
              <w:bCs/>
              <w:color w:val="0D9488"/>
              <w:sz w:val="15"/>
              <w:szCs w:val="15"/>
            </w:rPr>
            <w:t>Software de Gestión Odontológica en la Nube</w:t>
          </w:r>
        </w:p>
      </w:tc>
      <w:tc>
        <w:tcPr>
          <w:tcW w:w="1700" w:type="pct"/>
        </w:tcPr>
        <w:p w14:paraId="17B3CD33" w14:textId="75752963" w:rsidR="004F4103" w:rsidRDefault="004F4103" w:rsidP="004F4103">
          <w:pPr>
            <w:jc w:val="right"/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</w:pPr>
          <w:r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  <w:t>Código: PROT-01</w:t>
          </w:r>
        </w:p>
        <w:p w14:paraId="54870CFF" w14:textId="5C0A7192" w:rsidR="004F4103" w:rsidRDefault="004F4103" w:rsidP="004F4103">
          <w:pPr>
            <w:jc w:val="right"/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</w:pPr>
          <w:r>
            <w:rPr>
              <w:rFonts w:ascii="Segoe UI" w:eastAsia="Segoe UI" w:hAnsi="Segoe UI" w:cs="Segoe UI"/>
              <w:b/>
              <w:bCs/>
              <w:color w:val="475569"/>
              <w:sz w:val="14"/>
              <w:szCs w:val="14"/>
            </w:rPr>
            <w:t xml:space="preserve">Versión: 2026.1 </w:t>
          </w:r>
        </w:p>
        <w:p w14:paraId="5FFBD54B" w14:textId="3E441283" w:rsidR="004F4103" w:rsidRDefault="004F4103" w:rsidP="004F4103">
          <w:pPr>
            <w:jc w:val="right"/>
          </w:pPr>
          <w:r>
            <w:rPr>
              <w:rFonts w:ascii="Segoe UI" w:eastAsia="Segoe UI" w:hAnsi="Segoe UI" w:cs="Segoe UI"/>
              <w:color w:val="475569"/>
              <w:sz w:val="13"/>
              <w:szCs w:val="13"/>
            </w:rPr>
            <w:t xml:space="preserve">Edición: </w:t>
          </w:r>
          <w:proofErr w:type="gramStart"/>
          <w:r>
            <w:rPr>
              <w:rFonts w:ascii="Segoe UI" w:eastAsia="Segoe UI" w:hAnsi="Segoe UI" w:cs="Segoe UI"/>
              <w:color w:val="475569"/>
              <w:sz w:val="13"/>
              <w:szCs w:val="13"/>
            </w:rPr>
            <w:t>Octubre</w:t>
          </w:r>
          <w:proofErr w:type="gramEnd"/>
          <w:r>
            <w:rPr>
              <w:rFonts w:ascii="Segoe UI" w:eastAsia="Segoe UI" w:hAnsi="Segoe UI" w:cs="Segoe UI"/>
              <w:color w:val="475569"/>
              <w:sz w:val="13"/>
              <w:szCs w:val="13"/>
            </w:rPr>
            <w:t xml:space="preserve"> 2026 </w:t>
          </w:r>
        </w:p>
      </w:tc>
    </w:tr>
  </w:tbl>
  <w:p w14:paraId="4C478D53" w14:textId="17A9A658" w:rsidR="00AA2D1F" w:rsidRDefault="00AA2D1F" w:rsidP="00791A85">
    <w:pPr>
      <w:spacing w:after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C0FE9"/>
    <w:multiLevelType w:val="hybridMultilevel"/>
    <w:tmpl w:val="010EB4C2"/>
    <w:lvl w:ilvl="0" w:tplc="F37CA022" w:tentative="1">
      <w:start w:val="1"/>
      <w:numFmt w:val="bullet"/>
      <w:lvlText w:val="●"/>
      <w:lvlJc w:val="left"/>
      <w:pPr>
        <w:ind w:left="720" w:hanging="360"/>
      </w:pPr>
    </w:lvl>
    <w:lvl w:ilvl="1" w:tplc="CAE6695C" w:tentative="1">
      <w:start w:val="1"/>
      <w:numFmt w:val="bullet"/>
      <w:lvlText w:val="○"/>
      <w:lvlJc w:val="left"/>
      <w:pPr>
        <w:ind w:left="1440" w:hanging="360"/>
      </w:pPr>
    </w:lvl>
    <w:lvl w:ilvl="2" w:tplc="68FAB3CE" w:tentative="1">
      <w:start w:val="1"/>
      <w:numFmt w:val="bullet"/>
      <w:lvlText w:val="■"/>
      <w:lvlJc w:val="left"/>
      <w:pPr>
        <w:ind w:left="2160" w:hanging="360"/>
      </w:pPr>
    </w:lvl>
    <w:lvl w:ilvl="3" w:tplc="5790BA94" w:tentative="1">
      <w:start w:val="1"/>
      <w:numFmt w:val="bullet"/>
      <w:lvlText w:val="●"/>
      <w:lvlJc w:val="left"/>
      <w:pPr>
        <w:ind w:left="2880" w:hanging="360"/>
      </w:pPr>
    </w:lvl>
    <w:lvl w:ilvl="4" w:tplc="61521C74" w:tentative="1">
      <w:start w:val="1"/>
      <w:numFmt w:val="bullet"/>
      <w:lvlText w:val="○"/>
      <w:lvlJc w:val="left"/>
      <w:pPr>
        <w:ind w:left="3600" w:hanging="360"/>
      </w:pPr>
    </w:lvl>
    <w:lvl w:ilvl="5" w:tplc="E0E43198" w:tentative="1">
      <w:start w:val="1"/>
      <w:numFmt w:val="bullet"/>
      <w:lvlText w:val="■"/>
      <w:lvlJc w:val="left"/>
      <w:pPr>
        <w:ind w:left="4320" w:hanging="360"/>
      </w:pPr>
    </w:lvl>
    <w:lvl w:ilvl="6" w:tplc="0BCE2246" w:tentative="1">
      <w:start w:val="1"/>
      <w:numFmt w:val="bullet"/>
      <w:lvlText w:val="●"/>
      <w:lvlJc w:val="left"/>
      <w:pPr>
        <w:ind w:left="5040" w:hanging="360"/>
      </w:pPr>
    </w:lvl>
    <w:lvl w:ilvl="7" w:tplc="33B4EA7A" w:tentative="1">
      <w:start w:val="1"/>
      <w:numFmt w:val="bullet"/>
      <w:lvlText w:val="●"/>
      <w:lvlJc w:val="left"/>
      <w:pPr>
        <w:ind w:left="5760" w:hanging="360"/>
      </w:pPr>
    </w:lvl>
    <w:lvl w:ilvl="8" w:tplc="F1FA92F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D1F"/>
    <w:rsid w:val="004F4103"/>
    <w:rsid w:val="005F3804"/>
    <w:rsid w:val="00791A85"/>
    <w:rsid w:val="00AA2D1F"/>
    <w:rsid w:val="00F7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B9187"/>
  <w15:docId w15:val="{4116BEA3-1B5C-4B50-A1F8-3D36CEDB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F41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F4103"/>
  </w:style>
  <w:style w:type="paragraph" w:styleId="Piedepgina">
    <w:name w:val="footer"/>
    <w:basedOn w:val="Normal"/>
    <w:link w:val="PiedepginaCar"/>
    <w:uiPriority w:val="99"/>
    <w:unhideWhenUsed/>
    <w:rsid w:val="004F41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F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601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PROT-01 — PROTOCOLO DE SEGURIDAD DE LA INFORMACIÓN Y RESPALDO CLOUD</vt:lpstr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PROT-01 — PROTOCOLO DE SEGURIDAD DE LA INFORMACIÓN Y RESPALDO CLOUD</dc:title>
  <dc:creator>OdontoCloud Colombia</dc:creator>
  <dc:description>Directrices Técnicas de Seguridad Lógica, Cifrado, Respaldos Transaccionales y Continuidad Operativa OdontoCloud SaaS</dc:description>
  <cp:lastModifiedBy>ING MADRID</cp:lastModifiedBy>
  <cp:revision>2</cp:revision>
  <cp:lastPrinted>2026-10-15T01:07:00Z</cp:lastPrinted>
  <dcterms:created xsi:type="dcterms:W3CDTF">2026-10-14T23:41:00Z</dcterms:created>
  <dcterms:modified xsi:type="dcterms:W3CDTF">2026-10-15T01:10:00Z</dcterms:modified>
</cp:coreProperties>
</file>