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bottom w:val="single" w:sz="12" w:space="0" w:color="0F2942"/>
        </w:tblBorders>
        <w:tblLook w:val="04A0" w:firstRow="1" w:lastRow="0" w:firstColumn="1" w:lastColumn="0" w:noHBand="0" w:noVBand="1"/>
      </w:tblPr>
      <w:tblGrid>
        <w:gridCol w:w="1130"/>
        <w:gridCol w:w="5082"/>
        <w:gridCol w:w="3200"/>
      </w:tblGrid>
      <w:tr w:rsidR="00323544" w14:paraId="7C83314C" w14:textId="77777777">
        <w:trPr>
          <w:cantSplit/>
        </w:trPr>
        <w:tc>
          <w:tcPr>
            <w:tcW w:w="600" w:type="pct"/>
          </w:tcPr>
          <w:p w14:paraId="7EF3604A" w14:textId="77777777" w:rsidR="00323544" w:rsidRDefault="00952B2A">
            <w:r>
              <w:rPr>
                <w:noProof/>
              </w:rPr>
              <w:drawing>
                <wp:inline distT="0" distB="0" distL="0" distR="0" wp14:anchorId="55D3E13C" wp14:editId="3C749CE1">
                  <wp:extent cx="457200" cy="4572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0" w:type="pct"/>
          </w:tcPr>
          <w:p w14:paraId="59C203BF" w14:textId="77777777" w:rsidR="00323544" w:rsidRDefault="00952B2A">
            <w:bookmarkStart w:id="0" w:name="_Hlk242901097"/>
            <w:r>
              <w:rPr>
                <w:rFonts w:ascii="Segoe UI" w:eastAsia="Segoe UI" w:hAnsi="Segoe UI" w:cs="Segoe UI"/>
                <w:b/>
                <w:bCs/>
                <w:color w:val="0F2942"/>
                <w:sz w:val="21"/>
                <w:szCs w:val="21"/>
              </w:rPr>
              <w:t>ODONTOCLOUD COLOMBIA</w:t>
            </w:r>
          </w:p>
          <w:bookmarkEnd w:id="0"/>
          <w:p w14:paraId="0316A2D0" w14:textId="77777777" w:rsidR="00323544" w:rsidRDefault="00952B2A">
            <w:r>
              <w:rPr>
                <w:rFonts w:ascii="Segoe UI" w:eastAsia="Segoe UI" w:hAnsi="Segoe UI" w:cs="Segoe UI"/>
                <w:b/>
                <w:bCs/>
                <w:color w:val="0D9488"/>
                <w:sz w:val="15"/>
                <w:szCs w:val="15"/>
              </w:rPr>
              <w:t>Software de Gestión Odontológica en la Nube</w:t>
            </w:r>
          </w:p>
        </w:tc>
        <w:tc>
          <w:tcPr>
            <w:tcW w:w="1700" w:type="pct"/>
          </w:tcPr>
          <w:p w14:paraId="0ECAE426" w14:textId="7C22BB2C" w:rsidR="00A8237F" w:rsidRDefault="00952B2A">
            <w:pPr>
              <w:jc w:val="right"/>
              <w:rPr>
                <w:rFonts w:ascii="Segoe UI" w:eastAsia="Segoe UI" w:hAnsi="Segoe UI" w:cs="Segoe UI"/>
                <w:b/>
                <w:bCs/>
                <w:color w:val="475569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bCs/>
                <w:color w:val="475569"/>
                <w:sz w:val="14"/>
                <w:szCs w:val="14"/>
              </w:rPr>
              <w:t>Código: TERM-01</w:t>
            </w:r>
          </w:p>
          <w:p w14:paraId="50395F16" w14:textId="5B73828A" w:rsidR="00A8237F" w:rsidRDefault="00952B2A">
            <w:pPr>
              <w:jc w:val="right"/>
              <w:rPr>
                <w:rFonts w:ascii="Segoe UI" w:eastAsia="Segoe UI" w:hAnsi="Segoe UI" w:cs="Segoe UI"/>
                <w:b/>
                <w:bCs/>
                <w:color w:val="475569"/>
                <w:sz w:val="14"/>
                <w:szCs w:val="14"/>
              </w:rPr>
            </w:pPr>
            <w:r>
              <w:rPr>
                <w:rFonts w:ascii="Segoe UI" w:eastAsia="Segoe UI" w:hAnsi="Segoe UI" w:cs="Segoe UI"/>
                <w:b/>
                <w:bCs/>
                <w:color w:val="475569"/>
                <w:sz w:val="14"/>
                <w:szCs w:val="14"/>
              </w:rPr>
              <w:t>Versión: 2026.1</w:t>
            </w:r>
          </w:p>
          <w:p w14:paraId="1670B2AC" w14:textId="4B031494" w:rsidR="00323544" w:rsidRDefault="00952B2A">
            <w:pPr>
              <w:jc w:val="right"/>
            </w:pPr>
            <w:r>
              <w:rPr>
                <w:rFonts w:ascii="Segoe UI" w:eastAsia="Segoe UI" w:hAnsi="Segoe UI" w:cs="Segoe UI"/>
                <w:color w:val="475569"/>
                <w:sz w:val="13"/>
                <w:szCs w:val="13"/>
              </w:rPr>
              <w:t xml:space="preserve">Edición: </w:t>
            </w:r>
            <w:proofErr w:type="gramStart"/>
            <w:r>
              <w:rPr>
                <w:rFonts w:ascii="Segoe UI" w:eastAsia="Segoe UI" w:hAnsi="Segoe UI" w:cs="Segoe UI"/>
                <w:color w:val="475569"/>
                <w:sz w:val="13"/>
                <w:szCs w:val="13"/>
              </w:rPr>
              <w:t>Octubre</w:t>
            </w:r>
            <w:proofErr w:type="gramEnd"/>
            <w:r>
              <w:rPr>
                <w:rFonts w:ascii="Segoe UI" w:eastAsia="Segoe UI" w:hAnsi="Segoe UI" w:cs="Segoe UI"/>
                <w:color w:val="475569"/>
                <w:sz w:val="13"/>
                <w:szCs w:val="13"/>
              </w:rPr>
              <w:t xml:space="preserve"> 2026 </w:t>
            </w:r>
          </w:p>
        </w:tc>
      </w:tr>
    </w:tbl>
    <w:p w14:paraId="50072605" w14:textId="77777777" w:rsidR="00323544" w:rsidRDefault="00323544">
      <w:pPr>
        <w:spacing w:after="40"/>
      </w:pPr>
    </w:p>
    <w:p w14:paraId="3D4A7FEF" w14:textId="77777777" w:rsidR="00323544" w:rsidRDefault="00952B2A">
      <w:pPr>
        <w:pStyle w:val="Ttulo1"/>
        <w:spacing w:after="30"/>
        <w:jc w:val="center"/>
      </w:pPr>
      <w:r>
        <w:rPr>
          <w:rFonts w:ascii="Segoe UI" w:eastAsia="Segoe UI" w:hAnsi="Segoe UI" w:cs="Segoe UI"/>
          <w:b/>
          <w:bCs/>
          <w:color w:val="0F2942"/>
          <w:sz w:val="23"/>
          <w:szCs w:val="23"/>
        </w:rPr>
        <w:t>TÉRMINOS Y CONDICIONES GENERALES DE USO DE</w:t>
      </w:r>
      <w:r>
        <w:rPr>
          <w:rFonts w:ascii="Segoe UI" w:eastAsia="Segoe UI" w:hAnsi="Segoe UI" w:cs="Segoe UI"/>
          <w:b/>
          <w:bCs/>
          <w:color w:val="0F2942"/>
          <w:sz w:val="23"/>
          <w:szCs w:val="23"/>
        </w:rPr>
        <w:t>L</w:t>
      </w:r>
      <w:r>
        <w:rPr>
          <w:rFonts w:ascii="Segoe UI" w:eastAsia="Segoe UI" w:hAnsi="Segoe UI" w:cs="Segoe UI"/>
          <w:b/>
          <w:bCs/>
          <w:color w:val="0F2942"/>
          <w:sz w:val="23"/>
          <w:szCs w:val="23"/>
        </w:rPr>
        <w:t xml:space="preserve"> </w:t>
      </w:r>
      <w:r>
        <w:rPr>
          <w:rFonts w:ascii="Segoe UI" w:eastAsia="Segoe UI" w:hAnsi="Segoe UI" w:cs="Segoe UI"/>
          <w:b/>
          <w:bCs/>
          <w:color w:val="0F2942"/>
          <w:sz w:val="23"/>
          <w:szCs w:val="23"/>
        </w:rPr>
        <w:t>SERVICIO SAAS</w:t>
      </w:r>
    </w:p>
    <w:p w14:paraId="6E1ABFCD" w14:textId="77777777" w:rsidR="00323544" w:rsidRDefault="00952B2A">
      <w:pPr>
        <w:spacing w:after="70"/>
        <w:jc w:val="center"/>
      </w:pPr>
      <w:r>
        <w:rPr>
          <w:rFonts w:ascii="Segoe UI" w:eastAsia="Segoe UI" w:hAnsi="Segoe UI" w:cs="Segoe UI"/>
          <w:color w:val="475569"/>
          <w:sz w:val="16"/>
          <w:szCs w:val="16"/>
        </w:rPr>
        <w:t>Condiciones Generales de Contratación, Licenciamiento, Nivel de Servicio, Régimen de Custodia y Tratamiento Posterior de Datos</w:t>
      </w:r>
    </w:p>
    <w:p w14:paraId="065AFA48" w14:textId="77777777" w:rsidR="00323544" w:rsidRDefault="00323544">
      <w:pPr>
        <w:spacing w:after="40"/>
      </w:pPr>
    </w:p>
    <w:p w14:paraId="6B40631C" w14:textId="77777777" w:rsidR="00323544" w:rsidRDefault="00952B2A">
      <w:pPr>
        <w:pStyle w:val="Ttulo2"/>
        <w:spacing w:before="100" w:after="40"/>
      </w:pPr>
      <w:r>
        <w:rPr>
          <w:rFonts w:ascii="Segoe UI" w:eastAsia="Segoe UI" w:hAnsi="Segoe UI" w:cs="Segoe UI"/>
          <w:b/>
          <w:bCs/>
          <w:color w:val="0F2942"/>
          <w:sz w:val="21"/>
          <w:szCs w:val="21"/>
        </w:rPr>
        <w:t>1. DEFINICIONES Y PARTES</w:t>
      </w:r>
    </w:p>
    <w:p w14:paraId="202729E7" w14:textId="77777777" w:rsidR="00323544" w:rsidRDefault="00952B2A">
      <w:pPr>
        <w:spacing w:after="60" w:line="260" w:lineRule="auto"/>
        <w:jc w:val="both"/>
      </w:pPr>
      <w:r>
        <w:rPr>
          <w:rFonts w:ascii="Segoe UI" w:eastAsia="Segoe UI" w:hAnsi="Segoe UI" w:cs="Segoe UI"/>
          <w:color w:val="1E293B"/>
          <w:sz w:val="19"/>
          <w:szCs w:val="19"/>
        </w:rPr>
        <w:t xml:space="preserve">Los presentes Términos y Condiciones regulan el licenciamiento y uso de la plataforma </w:t>
      </w:r>
      <w:proofErr w:type="spellStart"/>
      <w:r>
        <w:rPr>
          <w:rFonts w:ascii="Segoe UI" w:eastAsia="Segoe UI" w:hAnsi="Segoe UI" w:cs="Segoe UI"/>
          <w:color w:val="1E293B"/>
          <w:sz w:val="19"/>
          <w:szCs w:val="19"/>
        </w:rPr>
        <w:t>OdontoCloud</w:t>
      </w:r>
      <w:proofErr w:type="spellEnd"/>
      <w:r>
        <w:rPr>
          <w:rFonts w:ascii="Segoe UI" w:eastAsia="Segoe UI" w:hAnsi="Segoe UI" w:cs="Segoe UI"/>
          <w:color w:val="1E293B"/>
          <w:sz w:val="19"/>
          <w:szCs w:val="19"/>
        </w:rPr>
        <w:t xml:space="preserve"> Colombia, provista por JUAN EDUARDO MADRID REQUENA (EL PROVEEDOR). Su aceptación vincula a toda persona natural o jurídica (LA IPS o EL CLIENTE) que acceda al</w:t>
      </w:r>
      <w:r>
        <w:rPr>
          <w:rFonts w:ascii="Segoe UI" w:eastAsia="Segoe UI" w:hAnsi="Segoe UI" w:cs="Segoe UI"/>
          <w:color w:val="1E293B"/>
          <w:sz w:val="19"/>
          <w:szCs w:val="19"/>
        </w:rPr>
        <w:t xml:space="preserve"> servicio en la nube.</w:t>
      </w:r>
    </w:p>
    <w:p w14:paraId="197F38CB" w14:textId="77777777" w:rsidR="00323544" w:rsidRDefault="00952B2A">
      <w:pPr>
        <w:pStyle w:val="Ttulo2"/>
        <w:spacing w:before="100" w:after="40"/>
      </w:pPr>
      <w:r>
        <w:rPr>
          <w:rFonts w:ascii="Segoe UI" w:eastAsia="Segoe UI" w:hAnsi="Segoe UI" w:cs="Segoe UI"/>
          <w:b/>
          <w:bCs/>
          <w:color w:val="0F2942"/>
          <w:sz w:val="21"/>
          <w:szCs w:val="21"/>
        </w:rPr>
        <w:t>2. LICENCIA DE USO NO EXCLUSIVA Y PROPIEDAD INTELECTUAL</w:t>
      </w:r>
    </w:p>
    <w:p w14:paraId="40B28E3A" w14:textId="77777777" w:rsidR="00323544" w:rsidRDefault="00952B2A">
      <w:pPr>
        <w:spacing w:after="60" w:line="260" w:lineRule="auto"/>
        <w:jc w:val="both"/>
      </w:pPr>
      <w:r>
        <w:rPr>
          <w:rFonts w:ascii="Segoe UI" w:eastAsia="Segoe UI" w:hAnsi="Segoe UI" w:cs="Segoe UI"/>
          <w:color w:val="1E293B"/>
          <w:sz w:val="19"/>
          <w:szCs w:val="19"/>
        </w:rPr>
        <w:t>EL PROVEEDOR concede a LA IPS una licencia temporal, no exclusiva, revocable e intransferible para el uso del software en la nube. Todo el código, diseño y algoritmos son propied</w:t>
      </w:r>
      <w:r>
        <w:rPr>
          <w:rFonts w:ascii="Segoe UI" w:eastAsia="Segoe UI" w:hAnsi="Segoe UI" w:cs="Segoe UI"/>
          <w:color w:val="1E293B"/>
          <w:sz w:val="19"/>
          <w:szCs w:val="19"/>
        </w:rPr>
        <w:t>ad exclusiva de JUAN EDUARDO MADRID REQUENA. Los registros asistenciales e historias clínicas ingresadas son de propiedad de los pacientes bajo la custodia legal indelegable de LA IPS.</w:t>
      </w:r>
    </w:p>
    <w:p w14:paraId="1D070FAE" w14:textId="77777777" w:rsidR="00323544" w:rsidRDefault="00952B2A">
      <w:pPr>
        <w:pStyle w:val="Ttulo2"/>
        <w:spacing w:before="100" w:after="40"/>
      </w:pPr>
      <w:r>
        <w:rPr>
          <w:rFonts w:ascii="Segoe UI" w:eastAsia="Segoe UI" w:hAnsi="Segoe UI" w:cs="Segoe UI"/>
          <w:b/>
          <w:bCs/>
          <w:color w:val="0F2942"/>
          <w:sz w:val="21"/>
          <w:szCs w:val="21"/>
        </w:rPr>
        <w:t>3. NIVEL DE SERVICIO (SLA) Y EXCLUSIONES</w:t>
      </w:r>
    </w:p>
    <w:p w14:paraId="32F13A10" w14:textId="77777777" w:rsidR="00323544" w:rsidRDefault="00952B2A">
      <w:pPr>
        <w:spacing w:after="60" w:line="260" w:lineRule="auto"/>
        <w:jc w:val="both"/>
      </w:pPr>
      <w:r>
        <w:rPr>
          <w:rFonts w:ascii="Segoe UI" w:eastAsia="Segoe UI" w:hAnsi="Segoe UI" w:cs="Segoe UI"/>
          <w:color w:val="1E293B"/>
          <w:sz w:val="19"/>
          <w:szCs w:val="19"/>
        </w:rPr>
        <w:t>Se establece una disponibilidad objetivo del 99.5% mensual bajo un estándar de mejores esfuerzos técnicos. Se excluyen del cómputo de indisponibilidad: ventanas de mantenimiento preventivo notificadas con antelación, fallas en los proveedores de internet o</w:t>
      </w:r>
      <w:r>
        <w:rPr>
          <w:rFonts w:ascii="Segoe UI" w:eastAsia="Segoe UI" w:hAnsi="Segoe UI" w:cs="Segoe UI"/>
          <w:color w:val="1E293B"/>
          <w:sz w:val="19"/>
          <w:szCs w:val="19"/>
        </w:rPr>
        <w:t xml:space="preserve"> equipos locales de la IPS, cortes fortuitos en el hosting/VPS o eventos de fuerza mayor.</w:t>
      </w:r>
    </w:p>
    <w:p w14:paraId="6B4D45F6" w14:textId="77777777" w:rsidR="00323544" w:rsidRDefault="00952B2A">
      <w:pPr>
        <w:pStyle w:val="Ttulo2"/>
        <w:spacing w:before="100" w:after="40"/>
      </w:pPr>
      <w:r>
        <w:rPr>
          <w:rFonts w:ascii="Segoe UI" w:eastAsia="Segoe UI" w:hAnsi="Segoe UI" w:cs="Segoe UI"/>
          <w:b/>
          <w:bCs/>
          <w:color w:val="0F2942"/>
          <w:sz w:val="21"/>
          <w:szCs w:val="21"/>
        </w:rPr>
        <w:t>4. RESPONSABILIDAD ASISTENCIAL EXCLUSIVA Y DELIMITACIÓN REPS</w:t>
      </w:r>
    </w:p>
    <w:p w14:paraId="26826D34" w14:textId="18A7D001" w:rsidR="00323544" w:rsidRDefault="00952B2A" w:rsidP="00431E81">
      <w:pPr>
        <w:spacing w:after="60" w:line="260" w:lineRule="auto"/>
        <w:jc w:val="both"/>
      </w:pPr>
      <w:proofErr w:type="spellStart"/>
      <w:r>
        <w:rPr>
          <w:rFonts w:ascii="Segoe UI" w:eastAsia="Segoe UI" w:hAnsi="Segoe UI" w:cs="Segoe UI"/>
          <w:color w:val="1E293B"/>
          <w:sz w:val="19"/>
          <w:szCs w:val="19"/>
        </w:rPr>
        <w:t>OdontoCloud</w:t>
      </w:r>
      <w:proofErr w:type="spellEnd"/>
      <w:r>
        <w:rPr>
          <w:rFonts w:ascii="Segoe UI" w:eastAsia="Segoe UI" w:hAnsi="Segoe UI" w:cs="Segoe UI"/>
          <w:color w:val="1E293B"/>
          <w:sz w:val="19"/>
          <w:szCs w:val="19"/>
        </w:rPr>
        <w:t xml:space="preserve"> provee exclusivamente una herramienta informática. La relación odontólogo-paciente, los diagn</w:t>
      </w:r>
      <w:r>
        <w:rPr>
          <w:rFonts w:ascii="Segoe UI" w:eastAsia="Segoe UI" w:hAnsi="Segoe UI" w:cs="Segoe UI"/>
          <w:color w:val="1E293B"/>
          <w:sz w:val="19"/>
          <w:szCs w:val="19"/>
        </w:rPr>
        <w:t>ósticos, planes de tratamiento, prescripción de fármacos y la pertinencia clínica corresponden de forma privativa e indelegable a los profesionales de la salud y a LA IPS. El software no ejerce la odontología. La obtención y mantenimiento de la habilitació</w:t>
      </w:r>
      <w:r>
        <w:rPr>
          <w:rFonts w:ascii="Segoe UI" w:eastAsia="Segoe UI" w:hAnsi="Segoe UI" w:cs="Segoe UI"/>
          <w:color w:val="1E293B"/>
          <w:sz w:val="19"/>
          <w:szCs w:val="19"/>
        </w:rPr>
        <w:t xml:space="preserve">n sanitaria REPS (Resolución 3100 de 2019 de </w:t>
      </w:r>
      <w:proofErr w:type="spellStart"/>
      <w:r>
        <w:rPr>
          <w:rFonts w:ascii="Segoe UI" w:eastAsia="Segoe UI" w:hAnsi="Segoe UI" w:cs="Segoe UI"/>
          <w:color w:val="1E293B"/>
          <w:sz w:val="19"/>
          <w:szCs w:val="19"/>
        </w:rPr>
        <w:t>MinSalud</w:t>
      </w:r>
      <w:proofErr w:type="spellEnd"/>
      <w:r>
        <w:rPr>
          <w:rFonts w:ascii="Segoe UI" w:eastAsia="Segoe UI" w:hAnsi="Segoe UI" w:cs="Segoe UI"/>
          <w:color w:val="1E293B"/>
          <w:sz w:val="19"/>
          <w:szCs w:val="19"/>
        </w:rPr>
        <w:t>) es responsabilidad privativa de LA IPS.</w:t>
      </w:r>
    </w:p>
    <w:p w14:paraId="74A42BF8" w14:textId="77777777" w:rsidR="00323544" w:rsidRDefault="00952B2A">
      <w:pPr>
        <w:pStyle w:val="Ttulo2"/>
        <w:spacing w:before="100" w:after="40"/>
      </w:pPr>
      <w:r>
        <w:rPr>
          <w:rFonts w:ascii="Segoe UI" w:eastAsia="Segoe UI" w:hAnsi="Segoe UI" w:cs="Segoe UI"/>
          <w:b/>
          <w:bCs/>
          <w:color w:val="0F2942"/>
          <w:sz w:val="21"/>
          <w:szCs w:val="21"/>
        </w:rPr>
        <w:t>5. PROCEDIMIENTO ANTE MORA Y SALVAGUARDA DE HISTORIAS CLÍNICAS</w:t>
      </w:r>
    </w:p>
    <w:p w14:paraId="5937BF41" w14:textId="77777777" w:rsidR="00323544" w:rsidRDefault="00952B2A">
      <w:pPr>
        <w:spacing w:after="60" w:line="260" w:lineRule="auto"/>
        <w:jc w:val="both"/>
      </w:pPr>
      <w:r>
        <w:rPr>
          <w:rFonts w:ascii="Segoe UI" w:eastAsia="Segoe UI" w:hAnsi="Segoe UI" w:cs="Segoe UI"/>
          <w:color w:val="1E293B"/>
          <w:sz w:val="19"/>
          <w:szCs w:val="19"/>
        </w:rPr>
        <w:t xml:space="preserve">En caso de mora superior a </w:t>
      </w:r>
      <w:r>
        <w:rPr>
          <w:rFonts w:ascii="Segoe UI" w:eastAsia="Segoe UI" w:hAnsi="Segoe UI" w:cs="Segoe UI"/>
          <w:color w:val="1E293B"/>
          <w:sz w:val="19"/>
          <w:szCs w:val="19"/>
        </w:rPr>
        <w:t>t</w:t>
      </w:r>
      <w:r>
        <w:rPr>
          <w:rFonts w:ascii="Segoe UI" w:eastAsia="Segoe UI" w:hAnsi="Segoe UI" w:cs="Segoe UI"/>
          <w:color w:val="1E293B"/>
          <w:sz w:val="19"/>
          <w:szCs w:val="19"/>
        </w:rPr>
        <w:t>r</w:t>
      </w:r>
      <w:r>
        <w:rPr>
          <w:rFonts w:ascii="Segoe UI" w:eastAsia="Segoe UI" w:hAnsi="Segoe UI" w:cs="Segoe UI"/>
          <w:color w:val="1E293B"/>
          <w:sz w:val="19"/>
          <w:szCs w:val="19"/>
        </w:rPr>
        <w:t>e</w:t>
      </w:r>
      <w:r>
        <w:rPr>
          <w:rFonts w:ascii="Segoe UI" w:eastAsia="Segoe UI" w:hAnsi="Segoe UI" w:cs="Segoe UI"/>
          <w:color w:val="1E293B"/>
          <w:sz w:val="19"/>
          <w:szCs w:val="19"/>
        </w:rPr>
        <w:t>i</w:t>
      </w:r>
      <w:r>
        <w:rPr>
          <w:rFonts w:ascii="Segoe UI" w:eastAsia="Segoe UI" w:hAnsi="Segoe UI" w:cs="Segoe UI"/>
          <w:color w:val="1E293B"/>
          <w:sz w:val="19"/>
          <w:szCs w:val="19"/>
        </w:rPr>
        <w:t>n</w:t>
      </w:r>
      <w:r>
        <w:rPr>
          <w:rFonts w:ascii="Segoe UI" w:eastAsia="Segoe UI" w:hAnsi="Segoe UI" w:cs="Segoe UI"/>
          <w:color w:val="1E293B"/>
          <w:sz w:val="19"/>
          <w:szCs w:val="19"/>
        </w:rPr>
        <w:t>t</w:t>
      </w:r>
      <w:r>
        <w:rPr>
          <w:rFonts w:ascii="Segoe UI" w:eastAsia="Segoe UI" w:hAnsi="Segoe UI" w:cs="Segoe UI"/>
          <w:color w:val="1E293B"/>
          <w:sz w:val="19"/>
          <w:szCs w:val="19"/>
        </w:rPr>
        <w:t>a</w:t>
      </w:r>
      <w:r>
        <w:rPr>
          <w:rFonts w:ascii="Segoe UI" w:eastAsia="Segoe UI" w:hAnsi="Segoe UI" w:cs="Segoe UI"/>
          <w:color w:val="1E293B"/>
          <w:sz w:val="19"/>
          <w:szCs w:val="19"/>
        </w:rPr>
        <w:t xml:space="preserve"> </w:t>
      </w:r>
      <w:r>
        <w:rPr>
          <w:rFonts w:ascii="Segoe UI" w:eastAsia="Segoe UI" w:hAnsi="Segoe UI" w:cs="Segoe UI"/>
          <w:color w:val="1E293B"/>
          <w:sz w:val="19"/>
          <w:szCs w:val="19"/>
        </w:rPr>
        <w:t>(</w:t>
      </w:r>
      <w:r>
        <w:rPr>
          <w:rFonts w:ascii="Segoe UI" w:eastAsia="Segoe UI" w:hAnsi="Segoe UI" w:cs="Segoe UI"/>
          <w:color w:val="1E293B"/>
          <w:sz w:val="19"/>
          <w:szCs w:val="19"/>
        </w:rPr>
        <w:t>3</w:t>
      </w:r>
      <w:r>
        <w:rPr>
          <w:rFonts w:ascii="Segoe UI" w:eastAsia="Segoe UI" w:hAnsi="Segoe UI" w:cs="Segoe UI"/>
          <w:color w:val="1E293B"/>
          <w:sz w:val="19"/>
          <w:szCs w:val="19"/>
        </w:rPr>
        <w:t>0</w:t>
      </w:r>
      <w:r>
        <w:rPr>
          <w:rFonts w:ascii="Segoe UI" w:eastAsia="Segoe UI" w:hAnsi="Segoe UI" w:cs="Segoe UI"/>
          <w:color w:val="1E293B"/>
          <w:sz w:val="19"/>
          <w:szCs w:val="19"/>
        </w:rPr>
        <w:t>) días calendario en el canon mensual pactado, EL PROVEEDO</w:t>
      </w:r>
      <w:r>
        <w:rPr>
          <w:rFonts w:ascii="Segoe UI" w:eastAsia="Segoe UI" w:hAnsi="Segoe UI" w:cs="Segoe UI"/>
          <w:color w:val="1E293B"/>
          <w:sz w:val="19"/>
          <w:szCs w:val="19"/>
        </w:rPr>
        <w:t xml:space="preserve">R enviará un requerimiento formal por escrito otorgando un plazo perentorio de </w:t>
      </w:r>
      <w:r>
        <w:rPr>
          <w:rFonts w:ascii="Segoe UI" w:eastAsia="Segoe UI" w:hAnsi="Segoe UI" w:cs="Segoe UI"/>
          <w:color w:val="1E293B"/>
          <w:sz w:val="19"/>
          <w:szCs w:val="19"/>
        </w:rPr>
        <w:t>q</w:t>
      </w:r>
      <w:r>
        <w:rPr>
          <w:rFonts w:ascii="Segoe UI" w:eastAsia="Segoe UI" w:hAnsi="Segoe UI" w:cs="Segoe UI"/>
          <w:color w:val="1E293B"/>
          <w:sz w:val="19"/>
          <w:szCs w:val="19"/>
        </w:rPr>
        <w:t>u</w:t>
      </w:r>
      <w:r>
        <w:rPr>
          <w:rFonts w:ascii="Segoe UI" w:eastAsia="Segoe UI" w:hAnsi="Segoe UI" w:cs="Segoe UI"/>
          <w:color w:val="1E293B"/>
          <w:sz w:val="19"/>
          <w:szCs w:val="19"/>
        </w:rPr>
        <w:t>i</w:t>
      </w:r>
      <w:r>
        <w:rPr>
          <w:rFonts w:ascii="Segoe UI" w:eastAsia="Segoe UI" w:hAnsi="Segoe UI" w:cs="Segoe UI"/>
          <w:color w:val="1E293B"/>
          <w:sz w:val="19"/>
          <w:szCs w:val="19"/>
        </w:rPr>
        <w:t>n</w:t>
      </w:r>
      <w:r>
        <w:rPr>
          <w:rFonts w:ascii="Segoe UI" w:eastAsia="Segoe UI" w:hAnsi="Segoe UI" w:cs="Segoe UI"/>
          <w:color w:val="1E293B"/>
          <w:sz w:val="19"/>
          <w:szCs w:val="19"/>
        </w:rPr>
        <w:t>c</w:t>
      </w:r>
      <w:r>
        <w:rPr>
          <w:rFonts w:ascii="Segoe UI" w:eastAsia="Segoe UI" w:hAnsi="Segoe UI" w:cs="Segoe UI"/>
          <w:color w:val="1E293B"/>
          <w:sz w:val="19"/>
          <w:szCs w:val="19"/>
        </w:rPr>
        <w:t>e</w:t>
      </w:r>
      <w:r>
        <w:rPr>
          <w:rFonts w:ascii="Segoe UI" w:eastAsia="Segoe UI" w:hAnsi="Segoe UI" w:cs="Segoe UI"/>
          <w:color w:val="1E293B"/>
          <w:sz w:val="19"/>
          <w:szCs w:val="19"/>
        </w:rPr>
        <w:t xml:space="preserve"> (1</w:t>
      </w:r>
      <w:r>
        <w:rPr>
          <w:rFonts w:ascii="Segoe UI" w:eastAsia="Segoe UI" w:hAnsi="Segoe UI" w:cs="Segoe UI"/>
          <w:color w:val="1E293B"/>
          <w:sz w:val="19"/>
          <w:szCs w:val="19"/>
        </w:rPr>
        <w:t>5</w:t>
      </w:r>
      <w:r>
        <w:rPr>
          <w:rFonts w:ascii="Segoe UI" w:eastAsia="Segoe UI" w:hAnsi="Segoe UI" w:cs="Segoe UI"/>
          <w:color w:val="1E293B"/>
          <w:sz w:val="19"/>
          <w:szCs w:val="19"/>
        </w:rPr>
        <w:t>) días calendario para regularizar la obligación o para que la clínica proceda a la descarga de sus historias clínicas activas mediante los módulos habilitados. Vencid</w:t>
      </w:r>
      <w:r>
        <w:rPr>
          <w:rFonts w:ascii="Segoe UI" w:eastAsia="Segoe UI" w:hAnsi="Segoe UI" w:cs="Segoe UI"/>
          <w:color w:val="1E293B"/>
          <w:sz w:val="19"/>
          <w:szCs w:val="19"/>
        </w:rPr>
        <w:t>o este término sin acuerdo, podrá suspenderse temporalmente el acceso a la plataforma.</w:t>
      </w:r>
    </w:p>
    <w:p w14:paraId="4AB10BAF" w14:textId="77777777" w:rsidR="00323544" w:rsidRDefault="00952B2A">
      <w:pPr>
        <w:pStyle w:val="Ttulo2"/>
        <w:spacing w:before="100" w:after="40"/>
      </w:pPr>
      <w:r>
        <w:rPr>
          <w:rFonts w:ascii="Segoe UI" w:eastAsia="Segoe UI" w:hAnsi="Segoe UI" w:cs="Segoe UI"/>
          <w:b/>
          <w:bCs/>
          <w:color w:val="0F2942"/>
          <w:sz w:val="21"/>
          <w:szCs w:val="21"/>
        </w:rPr>
        <w:t>6. CUSTODIA SANITARIA DE 15 AÑOS (RES. 839/2017) Y TERMINACIÓN</w:t>
      </w:r>
    </w:p>
    <w:p w14:paraId="051A2812" w14:textId="77777777" w:rsidR="00323544" w:rsidRDefault="00952B2A">
      <w:pPr>
        <w:spacing w:after="60" w:line="260" w:lineRule="auto"/>
        <w:jc w:val="both"/>
      </w:pPr>
      <w:r>
        <w:rPr>
          <w:rFonts w:ascii="Segoe UI" w:eastAsia="Segoe UI" w:hAnsi="Segoe UI" w:cs="Segoe UI"/>
          <w:color w:val="1E293B"/>
          <w:sz w:val="19"/>
          <w:szCs w:val="19"/>
        </w:rPr>
        <w:t xml:space="preserve">• Custodia Privativa de la IPS: Conforme a la Resolución 839 de 2017 de </w:t>
      </w:r>
      <w:proofErr w:type="spellStart"/>
      <w:r>
        <w:rPr>
          <w:rFonts w:ascii="Segoe UI" w:eastAsia="Segoe UI" w:hAnsi="Segoe UI" w:cs="Segoe UI"/>
          <w:color w:val="1E293B"/>
          <w:sz w:val="19"/>
          <w:szCs w:val="19"/>
        </w:rPr>
        <w:t>MinSalud</w:t>
      </w:r>
      <w:proofErr w:type="spellEnd"/>
      <w:r>
        <w:rPr>
          <w:rFonts w:ascii="Segoe UI" w:eastAsia="Segoe UI" w:hAnsi="Segoe UI" w:cs="Segoe UI"/>
          <w:color w:val="1E293B"/>
          <w:sz w:val="19"/>
          <w:szCs w:val="19"/>
        </w:rPr>
        <w:t>, la custodia y conservaci</w:t>
      </w:r>
      <w:r>
        <w:rPr>
          <w:rFonts w:ascii="Segoe UI" w:eastAsia="Segoe UI" w:hAnsi="Segoe UI" w:cs="Segoe UI"/>
          <w:color w:val="1E293B"/>
          <w:sz w:val="19"/>
          <w:szCs w:val="19"/>
        </w:rPr>
        <w:t>ón legal de las historias clínicas por quince (15) años corresponde de manera privativa e indelegable a LA IPS.</w:t>
      </w:r>
    </w:p>
    <w:p w14:paraId="577FF8CE" w14:textId="77777777" w:rsidR="00323544" w:rsidRDefault="00952B2A">
      <w:pPr>
        <w:spacing w:after="60" w:line="260" w:lineRule="auto"/>
        <w:jc w:val="both"/>
      </w:pPr>
      <w:r>
        <w:rPr>
          <w:rFonts w:ascii="Segoe UI" w:eastAsia="Segoe UI" w:hAnsi="Segoe UI" w:cs="Segoe UI"/>
          <w:color w:val="1E293B"/>
          <w:sz w:val="19"/>
          <w:szCs w:val="19"/>
        </w:rPr>
        <w:t xml:space="preserve">• Periodo de Gracia de 60 Días: Finalizado el servicio por cualquier causa, LA IPS dispondrá de un plazo de sesenta (60) días calendario para </w:t>
      </w:r>
      <w:r>
        <w:rPr>
          <w:rFonts w:ascii="Segoe UI" w:eastAsia="Segoe UI" w:hAnsi="Segoe UI" w:cs="Segoe UI"/>
          <w:color w:val="1E293B"/>
          <w:sz w:val="19"/>
          <w:szCs w:val="19"/>
        </w:rPr>
        <w:t>ex</w:t>
      </w:r>
      <w:r>
        <w:rPr>
          <w:rFonts w:ascii="Segoe UI" w:eastAsia="Segoe UI" w:hAnsi="Segoe UI" w:cs="Segoe UI"/>
          <w:color w:val="1E293B"/>
          <w:sz w:val="19"/>
          <w:szCs w:val="19"/>
        </w:rPr>
        <w:t>portar</w:t>
      </w:r>
      <w:r>
        <w:rPr>
          <w:rFonts w:ascii="Segoe UI" w:eastAsia="Segoe UI" w:hAnsi="Segoe UI" w:cs="Segoe UI"/>
          <w:color w:val="1E293B"/>
          <w:sz w:val="19"/>
          <w:szCs w:val="19"/>
        </w:rPr>
        <w:t xml:space="preserve"> la totalidad de historias clínicas foliadas en PDF, datos en JSON/CSV y consentimientos digitalizados.</w:t>
      </w:r>
    </w:p>
    <w:p w14:paraId="6378CE80" w14:textId="77777777" w:rsidR="00323544" w:rsidRDefault="00952B2A">
      <w:pPr>
        <w:spacing w:after="60" w:line="260" w:lineRule="auto"/>
        <w:jc w:val="both"/>
      </w:pPr>
      <w:r>
        <w:rPr>
          <w:rFonts w:ascii="Segoe UI" w:eastAsia="Segoe UI" w:hAnsi="Segoe UI" w:cs="Segoe UI"/>
          <w:color w:val="1E293B"/>
          <w:sz w:val="19"/>
          <w:szCs w:val="19"/>
        </w:rPr>
        <w:t xml:space="preserve">• Acta de Cierre y Entrega Documentada: </w:t>
      </w:r>
      <w:r>
        <w:rPr>
          <w:rFonts w:ascii="Segoe UI" w:eastAsia="Segoe UI" w:hAnsi="Segoe UI" w:cs="Segoe UI"/>
          <w:color w:val="1E293B"/>
          <w:sz w:val="19"/>
          <w:szCs w:val="19"/>
        </w:rPr>
        <w:t xml:space="preserve">Al finalizar la exportación, </w:t>
      </w:r>
      <w:r>
        <w:rPr>
          <w:rFonts w:ascii="Segoe UI" w:eastAsia="Segoe UI" w:hAnsi="Segoe UI" w:cs="Segoe UI"/>
          <w:color w:val="1E293B"/>
          <w:sz w:val="19"/>
          <w:szCs w:val="19"/>
        </w:rPr>
        <w:t>LAS PARTES suscribirán un Acta de Cierre y Entrega Documentada que acredite el recibo formal de la información bajo custodia de la IPS.</w:t>
      </w:r>
    </w:p>
    <w:p w14:paraId="2C96F245" w14:textId="77777777" w:rsidR="00323544" w:rsidRDefault="00952B2A">
      <w:pPr>
        <w:spacing w:after="60" w:line="260" w:lineRule="auto"/>
        <w:jc w:val="both"/>
      </w:pPr>
      <w:r>
        <w:rPr>
          <w:rFonts w:ascii="Segoe UI" w:eastAsia="Segoe UI" w:hAnsi="Segoe UI" w:cs="Segoe UI"/>
          <w:color w:val="1E293B"/>
          <w:sz w:val="19"/>
          <w:szCs w:val="19"/>
        </w:rPr>
        <w:t>• Prohibición Absoluta de Borrado Automático: En ni</w:t>
      </w:r>
      <w:r>
        <w:rPr>
          <w:rFonts w:ascii="Segoe UI" w:eastAsia="Segoe UI" w:hAnsi="Segoe UI" w:cs="Segoe UI"/>
          <w:color w:val="1E293B"/>
          <w:sz w:val="19"/>
          <w:szCs w:val="19"/>
        </w:rPr>
        <w:t xml:space="preserve">ngún caso </w:t>
      </w:r>
      <w:proofErr w:type="spellStart"/>
      <w:r>
        <w:rPr>
          <w:rFonts w:ascii="Segoe UI" w:eastAsia="Segoe UI" w:hAnsi="Segoe UI" w:cs="Segoe UI"/>
          <w:color w:val="1E293B"/>
          <w:sz w:val="19"/>
          <w:szCs w:val="19"/>
        </w:rPr>
        <w:t>OdontoCloud</w:t>
      </w:r>
      <w:proofErr w:type="spellEnd"/>
      <w:r>
        <w:rPr>
          <w:rFonts w:ascii="Segoe UI" w:eastAsia="Segoe UI" w:hAnsi="Segoe UI" w:cs="Segoe UI"/>
          <w:color w:val="1E293B"/>
          <w:sz w:val="19"/>
          <w:szCs w:val="19"/>
        </w:rPr>
        <w:t xml:space="preserve"> ejecutará eliminación automática, unilateral o desatendida de datos asistenciales. Vencido el plazo de gracia sin retiro de datos, se enviará una notificación formal con preaviso de treinta (30) días para coordinar la entrega física/d</w:t>
      </w:r>
      <w:r>
        <w:rPr>
          <w:rFonts w:ascii="Segoe UI" w:eastAsia="Segoe UI" w:hAnsi="Segoe UI" w:cs="Segoe UI"/>
          <w:color w:val="1E293B"/>
          <w:sz w:val="19"/>
          <w:szCs w:val="19"/>
        </w:rPr>
        <w:t>igital de los respaldos o pactar custodia transitoria tarifada.</w:t>
      </w:r>
    </w:p>
    <w:p w14:paraId="35D91EE1" w14:textId="77777777" w:rsidR="00323544" w:rsidRDefault="00952B2A">
      <w:pPr>
        <w:pStyle w:val="Ttulo2"/>
        <w:spacing w:before="100" w:after="40"/>
      </w:pPr>
      <w:r>
        <w:rPr>
          <w:rFonts w:ascii="Segoe UI" w:eastAsia="Segoe UI" w:hAnsi="Segoe UI" w:cs="Segoe UI"/>
          <w:b/>
          <w:bCs/>
          <w:color w:val="0F2942"/>
          <w:sz w:val="21"/>
          <w:szCs w:val="21"/>
        </w:rPr>
        <w:t>7. LEY APLICABLE Y JURISDICCIÓN</w:t>
      </w:r>
    </w:p>
    <w:p w14:paraId="65826119" w14:textId="77777777" w:rsidR="00323544" w:rsidRDefault="00952B2A">
      <w:pPr>
        <w:spacing w:after="60" w:line="260" w:lineRule="auto"/>
        <w:jc w:val="both"/>
      </w:pPr>
      <w:r>
        <w:rPr>
          <w:rFonts w:ascii="Segoe UI" w:eastAsia="Segoe UI" w:hAnsi="Segoe UI" w:cs="Segoe UI"/>
          <w:color w:val="1E293B"/>
          <w:sz w:val="19"/>
          <w:szCs w:val="19"/>
        </w:rPr>
        <w:t xml:space="preserve">Se rige por las leyes de la República de Colombia. Cualquier controversia se someterá en primera instancia a arreglo directo y, en su defecto, ante los centros </w:t>
      </w:r>
      <w:r>
        <w:rPr>
          <w:rFonts w:ascii="Segoe UI" w:eastAsia="Segoe UI" w:hAnsi="Segoe UI" w:cs="Segoe UI"/>
          <w:color w:val="1E293B"/>
          <w:sz w:val="19"/>
          <w:szCs w:val="19"/>
        </w:rPr>
        <w:t>de conciliación autorizados en la ciudad de Sincelejo, Sucre.</w:t>
      </w:r>
    </w:p>
    <w:sectPr w:rsidR="00323544">
      <w:headerReference w:type="default" r:id="rId8"/>
      <w:footerReference w:type="default" r:id="rId9"/>
      <w:pgSz w:w="11906" w:h="16838"/>
      <w:pgMar w:top="1134" w:right="1247" w:bottom="1134" w:left="124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DAD3A" w14:textId="77777777" w:rsidR="00952B2A" w:rsidRDefault="00952B2A">
      <w:r>
        <w:separator/>
      </w:r>
    </w:p>
  </w:endnote>
  <w:endnote w:type="continuationSeparator" w:id="0">
    <w:p w14:paraId="246451E5" w14:textId="77777777" w:rsidR="00952B2A" w:rsidRDefault="00952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A53F6" w14:textId="77777777" w:rsidR="00323544" w:rsidRDefault="00952B2A">
    <w:pPr>
      <w:jc w:val="right"/>
    </w:pPr>
    <w:r>
      <w:rPr>
        <w:rFonts w:ascii="Segoe UI" w:eastAsia="Segoe UI" w:hAnsi="Segoe UI" w:cs="Segoe UI"/>
        <w:color w:val="64748B"/>
        <w:sz w:val="14"/>
        <w:szCs w:val="14"/>
      </w:rPr>
      <w:t xml:space="preserve">TERM-01 — Página </w:t>
    </w:r>
    <w:r>
      <w:rPr>
        <w:rFonts w:ascii="Segoe UI" w:eastAsia="Segoe UI" w:hAnsi="Segoe UI" w:cs="Segoe UI"/>
        <w:b/>
        <w:bCs/>
        <w:color w:val="64748B"/>
        <w:sz w:val="14"/>
        <w:szCs w:val="14"/>
      </w:rPr>
      <w:fldChar w:fldCharType="begin"/>
    </w:r>
    <w:r>
      <w:rPr>
        <w:rFonts w:ascii="Segoe UI" w:eastAsia="Segoe UI" w:hAnsi="Segoe UI" w:cs="Segoe UI"/>
        <w:b/>
        <w:bCs/>
        <w:color w:val="64748B"/>
        <w:sz w:val="14"/>
        <w:szCs w:val="14"/>
      </w:rPr>
      <w:instrText>PAGE</w:instrText>
    </w:r>
    <w:r>
      <w:rPr>
        <w:rFonts w:ascii="Segoe UI" w:eastAsia="Segoe UI" w:hAnsi="Segoe UI" w:cs="Segoe UI"/>
        <w:b/>
        <w:bCs/>
        <w:color w:val="64748B"/>
        <w:sz w:val="14"/>
        <w:szCs w:val="14"/>
      </w:rPr>
      <w:fldChar w:fldCharType="separate"/>
    </w:r>
    <w:r w:rsidR="00A8237F">
      <w:rPr>
        <w:rFonts w:ascii="Segoe UI" w:eastAsia="Segoe UI" w:hAnsi="Segoe UI" w:cs="Segoe UI"/>
        <w:b/>
        <w:bCs/>
        <w:noProof/>
        <w:color w:val="64748B"/>
        <w:sz w:val="14"/>
        <w:szCs w:val="14"/>
      </w:rPr>
      <w:t>1</w:t>
    </w:r>
    <w:r>
      <w:rPr>
        <w:rFonts w:ascii="Segoe UI" w:eastAsia="Segoe UI" w:hAnsi="Segoe UI" w:cs="Segoe UI"/>
        <w:b/>
        <w:bCs/>
        <w:color w:val="64748B"/>
        <w:sz w:val="14"/>
        <w:szCs w:val="14"/>
      </w:rPr>
      <w:fldChar w:fldCharType="end"/>
    </w:r>
    <w:r>
      <w:rPr>
        <w:rFonts w:ascii="Segoe UI" w:eastAsia="Segoe UI" w:hAnsi="Segoe UI" w:cs="Segoe UI"/>
        <w:color w:val="64748B"/>
        <w:sz w:val="14"/>
        <w:szCs w:val="14"/>
      </w:rPr>
      <w:t xml:space="preserve"> de </w:t>
    </w:r>
    <w:r>
      <w:rPr>
        <w:rFonts w:ascii="Segoe UI" w:eastAsia="Segoe UI" w:hAnsi="Segoe UI" w:cs="Segoe UI"/>
        <w:b/>
        <w:bCs/>
        <w:color w:val="64748B"/>
        <w:sz w:val="14"/>
        <w:szCs w:val="14"/>
      </w:rPr>
      <w:fldChar w:fldCharType="begin"/>
    </w:r>
    <w:r>
      <w:rPr>
        <w:rFonts w:ascii="Segoe UI" w:eastAsia="Segoe UI" w:hAnsi="Segoe UI" w:cs="Segoe UI"/>
        <w:b/>
        <w:bCs/>
        <w:color w:val="64748B"/>
        <w:sz w:val="14"/>
        <w:szCs w:val="14"/>
      </w:rPr>
      <w:instrText>NUMPAGES</w:instrText>
    </w:r>
    <w:r>
      <w:rPr>
        <w:rFonts w:ascii="Segoe UI" w:eastAsia="Segoe UI" w:hAnsi="Segoe UI" w:cs="Segoe UI"/>
        <w:b/>
        <w:bCs/>
        <w:color w:val="64748B"/>
        <w:sz w:val="14"/>
        <w:szCs w:val="14"/>
      </w:rPr>
      <w:fldChar w:fldCharType="separate"/>
    </w:r>
    <w:r w:rsidR="00A8237F">
      <w:rPr>
        <w:rFonts w:ascii="Segoe UI" w:eastAsia="Segoe UI" w:hAnsi="Segoe UI" w:cs="Segoe UI"/>
        <w:b/>
        <w:bCs/>
        <w:noProof/>
        <w:color w:val="64748B"/>
        <w:sz w:val="14"/>
        <w:szCs w:val="14"/>
      </w:rPr>
      <w:t>2</w:t>
    </w:r>
    <w:r>
      <w:rPr>
        <w:rFonts w:ascii="Segoe UI" w:eastAsia="Segoe UI" w:hAnsi="Segoe UI" w:cs="Segoe UI"/>
        <w:b/>
        <w:bCs/>
        <w:color w:val="64748B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2C13EC" w14:textId="77777777" w:rsidR="00952B2A" w:rsidRDefault="00952B2A">
      <w:r>
        <w:separator/>
      </w:r>
    </w:p>
  </w:footnote>
  <w:footnote w:type="continuationSeparator" w:id="0">
    <w:p w14:paraId="06D4FD36" w14:textId="77777777" w:rsidR="00952B2A" w:rsidRDefault="00952B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4F699" w14:textId="77777777" w:rsidR="00323544" w:rsidRDefault="00952B2A">
    <w:pPr>
      <w:spacing w:after="20"/>
      <w:jc w:val="right"/>
    </w:pPr>
    <w:r>
      <w:rPr>
        <w:rFonts w:ascii="Segoe UI" w:eastAsia="Segoe UI" w:hAnsi="Segoe UI" w:cs="Segoe UI"/>
        <w:color w:val="94A3B8"/>
        <w:sz w:val="13"/>
        <w:szCs w:val="13"/>
      </w:rPr>
      <w:t xml:space="preserve">TERM-01 | </w:t>
    </w:r>
    <w:proofErr w:type="spellStart"/>
    <w:r>
      <w:rPr>
        <w:rFonts w:ascii="Segoe UI" w:eastAsia="Segoe UI" w:hAnsi="Segoe UI" w:cs="Segoe UI"/>
        <w:color w:val="94A3B8"/>
        <w:sz w:val="13"/>
        <w:szCs w:val="13"/>
      </w:rPr>
      <w:t>OdontoCloud</w:t>
    </w:r>
    <w:proofErr w:type="spellEnd"/>
    <w:r>
      <w:rPr>
        <w:rFonts w:ascii="Segoe UI" w:eastAsia="Segoe UI" w:hAnsi="Segoe UI" w:cs="Segoe UI"/>
        <w:color w:val="94A3B8"/>
        <w:sz w:val="13"/>
        <w:szCs w:val="13"/>
      </w:rPr>
      <w:t xml:space="preserve"> Colombia — Edición 2026</w:t>
    </w:r>
    <w:r>
      <w:rPr>
        <w:rFonts w:ascii="Segoe UI" w:eastAsia="Segoe UI" w:hAnsi="Segoe UI" w:cs="Segoe UI"/>
        <w:color w:val="94A3B8"/>
        <w:sz w:val="13"/>
        <w:szCs w:val="13"/>
      </w:rPr>
      <w:t>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3B550F"/>
    <w:multiLevelType w:val="hybridMultilevel"/>
    <w:tmpl w:val="C180BCA6"/>
    <w:lvl w:ilvl="0" w:tplc="BDF02B26" w:tentative="1">
      <w:start w:val="1"/>
      <w:numFmt w:val="bullet"/>
      <w:lvlText w:val="●"/>
      <w:lvlJc w:val="left"/>
      <w:pPr>
        <w:ind w:left="720" w:hanging="360"/>
      </w:pPr>
    </w:lvl>
    <w:lvl w:ilvl="1" w:tplc="BC0C9D92" w:tentative="1">
      <w:start w:val="1"/>
      <w:numFmt w:val="bullet"/>
      <w:lvlText w:val="○"/>
      <w:lvlJc w:val="left"/>
      <w:pPr>
        <w:ind w:left="1440" w:hanging="360"/>
      </w:pPr>
    </w:lvl>
    <w:lvl w:ilvl="2" w:tplc="7586364C" w:tentative="1">
      <w:start w:val="1"/>
      <w:numFmt w:val="bullet"/>
      <w:lvlText w:val="■"/>
      <w:lvlJc w:val="left"/>
      <w:pPr>
        <w:ind w:left="2160" w:hanging="360"/>
      </w:pPr>
    </w:lvl>
    <w:lvl w:ilvl="3" w:tplc="8952B2BA" w:tentative="1">
      <w:start w:val="1"/>
      <w:numFmt w:val="bullet"/>
      <w:lvlText w:val="●"/>
      <w:lvlJc w:val="left"/>
      <w:pPr>
        <w:ind w:left="2880" w:hanging="360"/>
      </w:pPr>
    </w:lvl>
    <w:lvl w:ilvl="4" w:tplc="2AAEDCD0" w:tentative="1">
      <w:start w:val="1"/>
      <w:numFmt w:val="bullet"/>
      <w:lvlText w:val="○"/>
      <w:lvlJc w:val="left"/>
      <w:pPr>
        <w:ind w:left="3600" w:hanging="360"/>
      </w:pPr>
    </w:lvl>
    <w:lvl w:ilvl="5" w:tplc="C6380A4E" w:tentative="1">
      <w:start w:val="1"/>
      <w:numFmt w:val="bullet"/>
      <w:lvlText w:val="■"/>
      <w:lvlJc w:val="left"/>
      <w:pPr>
        <w:ind w:left="4320" w:hanging="360"/>
      </w:pPr>
    </w:lvl>
    <w:lvl w:ilvl="6" w:tplc="A3E8A482" w:tentative="1">
      <w:start w:val="1"/>
      <w:numFmt w:val="bullet"/>
      <w:lvlText w:val="●"/>
      <w:lvlJc w:val="left"/>
      <w:pPr>
        <w:ind w:left="5040" w:hanging="360"/>
      </w:pPr>
    </w:lvl>
    <w:lvl w:ilvl="7" w:tplc="95C2CC44" w:tentative="1">
      <w:start w:val="1"/>
      <w:numFmt w:val="bullet"/>
      <w:lvlText w:val="●"/>
      <w:lvlJc w:val="left"/>
      <w:pPr>
        <w:ind w:left="5760" w:hanging="360"/>
      </w:pPr>
    </w:lvl>
    <w:lvl w:ilvl="8" w:tplc="0114B8AC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544"/>
    <w:rsid w:val="002E70FD"/>
    <w:rsid w:val="00323544"/>
    <w:rsid w:val="00431E81"/>
    <w:rsid w:val="00952B2A"/>
    <w:rsid w:val="00A82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67833"/>
  <w15:docId w15:val="{0332A810-B995-4625-8E7D-EC5E4C512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8237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8237F"/>
  </w:style>
  <w:style w:type="paragraph" w:styleId="Piedepgina">
    <w:name w:val="footer"/>
    <w:basedOn w:val="Normal"/>
    <w:link w:val="PiedepginaCar"/>
    <w:uiPriority w:val="99"/>
    <w:unhideWhenUsed/>
    <w:rsid w:val="00A8237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823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585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TERM-01 — TÉRMINOS Y CONDICIONES GENERALES DE USO DEL SERVICIO SAAS</vt:lpstr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TERM-01 — TÉRMINOS Y CONDICIONES GENERALES DE USO DEL SERVICIO SAAS</dc:title>
  <dc:creator>OdontoCloud Colombia</dc:creator>
  <dc:description>Condiciones Generales de Contratación, Licenciamiento, Nivel de Servicio, Régimen de Custodia y Tratamiento Posterior de Datos</dc:description>
  <cp:lastModifiedBy>ING MADRID</cp:lastModifiedBy>
  <cp:revision>2</cp:revision>
  <cp:lastPrinted>2026-10-15T01:22:00Z</cp:lastPrinted>
  <dcterms:created xsi:type="dcterms:W3CDTF">2026-10-14T23:41:00Z</dcterms:created>
  <dcterms:modified xsi:type="dcterms:W3CDTF">2026-10-15T02:20:00Z</dcterms:modified>
</cp:coreProperties>
</file>