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DOC-04</w:t>
      </w:r>
    </w:p>
    <w:p>
      <w:pPr>
        <w:pStyle w:val="Heading1"/>
        <w:jc w:val="center"/>
      </w:pPr>
      <w:r>
        <w:rPr>
          <w:b/>
          <w:bCs/>
          <w:color w:val="0D9488"/>
          <w:sz w:val="34"/>
          <w:szCs w:val="34"/>
        </w:rPr>
        <w:t xml:space="preserve">Arquitectura Tecnológica e Infraestructura</w:t>
      </w:r>
    </w:p>
    <w:p>
      <w:pPr>
        <w:jc w:val="center"/>
      </w:pPr>
      <w:r>
        <w:rPr>
          <w:color w:val="475569"/>
          <w:sz w:val="20"/>
          <w:szCs w:val="20"/>
        </w:rPr>
        <w:t xml:space="preserve">Topología de Servidores VPS, Contenedores Docker, Aislamiento RLS y Seguridad Criptográfica</w:t>
      </w:r>
    </w:p>
    <w:p/>
    <w:p>
      <w:pPr>
        <w:jc w:val="center"/>
      </w:pPr>
      <w:r>
        <w:rPr>
          <w:b/>
          <w:bCs/>
          <w:color w:val="B45309"/>
          <w:sz w:val="18"/>
          <w:szCs w:val="18"/>
        </w:rPr>
        <w:t xml:space="preserve">ESTADO: DOCUMENTACIÓN INSTITUCIONAL EN REVISIÓN (Borrador Oficial previo a firmas legales y validación COPNIA)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DOC-04</w:t>
            </w:r>
          </w:p>
        </w:tc>
      </w:tr>
      <w:tr>
        <w:tc>
          <w:p>
            <w:r>
              <w:rPr>
                <w:b/>
                <w:bCs/>
              </w:rPr>
              <w:t xml:space="preserve">Versión Oficial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Fecha de Emisión</w:t>
            </w:r>
          </w:p>
        </w:tc>
        <w:tc>
          <w:p>
            <w:r>
              <w:t xml:space="preserve">Octubre de 2026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con Registro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verificación con RUT)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2026 - Sujeta a cotejo con certificado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Actividad Económica</w:t>
            </w:r>
          </w:p>
        </w:tc>
        <w:tc>
          <w:p>
            <w:r>
              <w:t xml:space="preserve">CIIU 6312 — Portales Web y Servicios de Procesamiento de Datos</w:t>
            </w:r>
          </w:p>
        </w:tc>
      </w:tr>
      <w:tr>
        <w:tc>
          <w:p>
            <w:r>
              <w:rPr>
                <w:b/>
                <w:bCs/>
              </w:rPr>
              <w:t xml:space="preserve">Domicilio Legal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Topología del Servidor VPS e Infraestructura en Nube</w:t>
      </w:r>
    </w:p>
    <w:p>
      <w:r>
        <w:rPr>
          <w:color w:val="1E293B"/>
          <w:sz w:val="20"/>
          <w:szCs w:val="20"/>
        </w:rPr>
        <w:t xml:space="preserve">OdontoCloud opera sobre una infraestructura en nube privada basada en Servidores Privados Virtuales (VPS) de alto rendimiento alojados en centros de datos Tier III con certificación ISO/IEC 27001. El sistema operativo base es Oracle Linux Enterprise (x86_64), optimizado para cargas transaccionales continuas y máxima disponibilidad.</w:t>
      </w:r>
    </w:p>
    <w:p>
      <w:r>
        <w:rPr>
          <w:color w:val="1E293B"/>
          <w:sz w:val="20"/>
          <w:szCs w:val="20"/>
        </w:rPr>
        <w:t xml:space="preserve">La orquestación de servicios se gestiona mediante Coolify sobre Docker Engine versión 25+, permitiendo el despliegue modular de microservicios contenerizados, control de ciclo de vida, rotación de logs y aislamiento estricto de procesos.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</w:tcPr>
          <w:p>
            <w:r>
              <w:rPr>
                <w:color w:val="0F766E"/>
                <w:sz w:val="19"/>
                <w:szCs w:val="19"/>
              </w:rPr>
              <w:t xml:space="preserve">🛡️ Aislamiento Estricto de Servicios y Recursos en el VPS
El servicio OdontoCloud opera dentro de su propio namespace de contenedores, redes de puente (bridge networks) dedicadas y volúmenes de almacenamiento persistente independientes. Existe una separación total y absoluta respecto de cualquier otro entorno o servicio alojado en la misma máquina física, impidiendo cualquier cruce de tráfico o acceso a datos entre sistemas.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Arquitectura de Componentes del 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 / Componente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Tecnología y Versión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Función en OdontoCloud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Capa de Presentación (Frontend)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React PWA, Vite, TailwindCSS, Lucide Icons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Interfaz de usuario reactiva, accesible vía web, soporte offline parcial y firma digital.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Pasarela de Entrada y Proxy Inverso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Kong API Gateway / Coolify Proxy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Terminación TLS 1.3, enrutamiento seguro de peticiones, limitación de tasa (rate limiting).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Capa de API Asistencial (Backend)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PostgREST Engine / Deno Edge Functions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Exposición segura de endpoints RESTful directamente desde el catálogo de la base de datos.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Motor de Base de Datos y Datos Clínicos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PostgreSQL 15+ Enterprise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Almacenamiento transaccional ACID, tablas clínicas, triggers de inmutabilidad y colas outbox.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Mecanismo de Despacho Asíncrono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Transactional Outbox Worker (Node.js)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Consumo y reintento con backoff exponencial de paquetes asistenciales para MinSalud.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Servidor de Notificaciones y Correo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Resend SMTP Gateway (Dominio Verificado)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Envío de credenciales, avisos de citas y notificaciones transaccionales seguras.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Aislamiento Multi-Inquilino mediante Row Level Security (RLS)</w:t>
      </w:r>
    </w:p>
    <w:p>
      <w:r>
        <w:rPr>
          <w:color w:val="1E293B"/>
          <w:sz w:val="20"/>
          <w:szCs w:val="20"/>
        </w:rPr>
        <w:t xml:space="preserve">OdontoCloud implementa un modelo de base de datos compartida con aislamiento lógico forzado por el motor PostgreSQL mediante Row Level Security (RLS):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Identificador de Clínica Forzado: Cada tabla del esquema asistencial (pacientes, citas, odontogramas, evoluciones, consentimientos, facturas) incluye la columna tenant_id obligatoria.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Políticas RLS Declarativas: A nivel de motor de datos se ejecutan políticas que filtran cada SELECT, INSERT, UPDATE y DELETE contra el tenant_id del usuario autenticado en la sesión JWT.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Imposibilidad de Fuga entre Clínicas: Ningún usuario de una clínica puede consultar ni modificar información perteneciente a otra clínica, incluso si manipula los identificadores en la URL o en las peticiones HTTP.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Seguridad Criptográfica y Cifrado de Secretos (AES-256-GCM)</w:t>
      </w:r>
    </w:p>
    <w:p>
      <w:r>
        <w:rPr>
          <w:color w:val="1E293B"/>
          <w:sz w:val="20"/>
          <w:szCs w:val="20"/>
        </w:rPr>
        <w:t xml:space="preserve">Las credenciales ministeriales de cada clínica (Client Secrets de Microsoft Entra ID y Subscription Keys de MinSalud) así como los tokens de la DIAN jamás se almacenan en texto plano en la base de datos: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BEB" w:val="clear"/>
          </w:tcPr>
          <w:p>
            <w:r>
              <w:rPr>
                <w:color w:val="B45309"/>
                <w:sz w:val="19"/>
                <w:szCs w:val="19"/>
              </w:rPr>
              <w:t xml:space="preserve">🔐 Cifrado Criptográfico Simétrico en Reposo
Los secretos se cifran mediante el algoritmo Advanced Encryption Standard en modo Galois/Counter Mode (AES-256-GCM) utilizando una clave maestra de 32 bytes gestionada en el servidor, un vector de inicialización (IV) de 12 bytes generado aleatoriamente por registro y una etiqueta de autenticación (Auth Tag) de 16 bytes que previene ataques de manipulación o sustitución de datos.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5. Plan de Respaldo y Metas de Recuperación (RPO / RTO)</w:t>
      </w:r>
    </w:p>
    <w:p>
      <w:r>
        <w:rPr>
          <w:color w:val="1E293B"/>
          <w:sz w:val="20"/>
          <w:szCs w:val="20"/>
        </w:rPr>
        <w:t xml:space="preserve">Para asegurar la continuidad del negocio y el cumplimiento del estándar de habilitación de Procesos Prioritarios: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Mecanismo de Respaldo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Frecuencia y Retención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Objetivo de Recuperación (Meta)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Dumps Transaccionales de Base de Datos (pg_dump -Fc)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Diario a las 02:00 AM (COT). Retención rotativa de 30 días en almacenamiento externo.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RPO (Punto Objetivo de Recuperación): 24 horas (meta de diseño técnico).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Instantáneas de Volumen Completo (Snapshots)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Semanal y previo a actualizaciones de release o mantenimiento de kernel.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RTO (Tiempo Objetivo de Recuperación): Menor a 4 horas (meta de diseño técnico).</w:t>
            </w:r>
          </w:p>
        </w:tc>
      </w:tr>
    </w:tbl>
    <w:p/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ELABORÓ (TÉCNICO / INGENIERÍA)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REVISÓ (AUDITORÍA / COMPLIANCE)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APROBÓ (DIRECCIÓN / LEGAL)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Equipo de Arquitectura e Ingeniería SaaS
OdontoCloud Colombia
Fecha: Octubre de 2026
Estado: Aprobado Técnico</w:t>
            </w:r>
          </w:p>
        </w:tc>
        <w:tc>
          <w:p>
            <w:r>
              <w:rPr>
                <w:sz w:val="16"/>
                <w:szCs w:val="16"/>
              </w:rPr>
              <w:t xml:space="preserve">[PENDIENTE DE DESIGNACIÓN: Ingeniero de Sistemas con Matrícula Profesional COPNIA]
PENDIENTE DE VALIDACIÓN MATRÍCULA COPNIA</w:t>
            </w:r>
          </w:p>
        </w:tc>
        <w:tc>
          <w:p>
            <w:r>
              <w:rPr>
                <w:sz w:val="16"/>
                <w:szCs w:val="16"/>
              </w:rPr>
              <w:t xml:space="preserve">JUAN EDUARDO MADRID REQUENA (Titular / Propietario)
C.C. 1102849760 | NIT 1102849760-5 (Sujeto a verificación con RUT)
PENDIENTE DE FIRMA PROTOCOLARIA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Institucional OdontoCloud © 2026 — En Revisión Previa a Firmas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DOC-04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DOC-04 — Arquitectura Tecnológica e Infraestructura</dc:title>
  <dc:creator>OdontoCloud Colombia</dc:creator>
  <dc:description>Topología de Servidores VPS, Contenedores Docker, Aislamiento RLS y Seguridad Criptográfica</dc:description>
  <cp:lastModifiedBy>Un-named</cp:lastModifiedBy>
  <cp:revision>1</cp:revision>
  <dcterms:created xsi:type="dcterms:W3CDTF">2026-10-14T19:48:22.581Z</dcterms:created>
  <dcterms:modified xsi:type="dcterms:W3CDTF">2026-10-14T19:48:22.581Z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