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952500" cy="9525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0F172A"/>
          <w:sz w:val="28"/>
          <w:szCs w:val="28"/>
        </w:rPr>
        <w:t xml:space="preserve">DOC-05</w:t>
      </w:r>
    </w:p>
    <w:p>
      <w:pPr>
        <w:pStyle w:val="Heading1"/>
        <w:jc w:val="center"/>
      </w:pPr>
      <w:r>
        <w:rPr>
          <w:b/>
          <w:bCs/>
          <w:color w:val="0D9488"/>
          <w:sz w:val="34"/>
          <w:szCs w:val="34"/>
        </w:rPr>
        <w:t xml:space="preserve">Política y Procedimientos de Seguridad de la Información</w:t>
      </w:r>
    </w:p>
    <w:p>
      <w:pPr>
        <w:jc w:val="center"/>
      </w:pPr>
      <w:r>
        <w:rPr>
          <w:color w:val="475569"/>
          <w:sz w:val="20"/>
          <w:szCs w:val="20"/>
        </w:rPr>
        <w:t xml:space="preserve">Directrices de Ciberseguridad, Salvaguardas Criptográficas, Prevención OWASP y Gestión de Incidentes</w:t>
      </w:r>
    </w:p>
    <w:p/>
    <w:p>
      <w:pPr>
        <w:jc w:val="center"/>
      </w:pPr>
      <w:r>
        <w:rPr>
          <w:b/>
          <w:bCs/>
          <w:color w:val="B45309"/>
          <w:sz w:val="18"/>
          <w:szCs w:val="18"/>
        </w:rPr>
        <w:t xml:space="preserve">ESTADO: DOCUMENTACIÓN INSTITUCIONAL EN REVISIÓN (Borrador Oficial previo a firmas legales y validación COPNIA)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Código Documental</w:t>
            </w:r>
          </w:p>
        </w:tc>
        <w:tc>
          <w:p>
            <w:r>
              <w:t xml:space="preserve">DOC-05</w:t>
            </w:r>
          </w:p>
        </w:tc>
      </w:tr>
      <w:tr>
        <w:tc>
          <w:p>
            <w:r>
              <w:rPr>
                <w:b/>
                <w:bCs/>
              </w:rPr>
              <w:t xml:space="preserve">Versión Oficial</w:t>
            </w:r>
          </w:p>
        </w:tc>
        <w:tc>
          <w:p>
            <w:r>
              <w:t xml:space="preserve">2026.1 (Release 8.2)</w:t>
            </w:r>
          </w:p>
        </w:tc>
      </w:tr>
      <w:tr>
        <w:tc>
          <w:p>
            <w:r>
              <w:rPr>
                <w:b/>
                <w:bCs/>
              </w:rPr>
              <w:t xml:space="preserve">Fecha de Emisión</w:t>
            </w:r>
          </w:p>
        </w:tc>
        <w:tc>
          <w:p>
            <w:r>
              <w:t xml:space="preserve">Octubre de 2026</w:t>
            </w:r>
          </w:p>
        </w:tc>
      </w:tr>
      <w:tr>
        <w:tc>
          <w:p>
            <w:r>
              <w:rPr>
                <w:b/>
                <w:bCs/>
              </w:rPr>
              <w:t xml:space="preserve">Proveedor / Titular</w:t>
            </w:r>
          </w:p>
        </w:tc>
        <w:tc>
          <w:p>
            <w:r>
              <w:t xml:space="preserve">JUAN EDUARDO MADRID REQUENA (Persona Natural con Registro Mercantil)</w:t>
            </w:r>
          </w:p>
        </w:tc>
      </w:tr>
      <w:tr>
        <w:tc>
          <w:p>
            <w:r>
              <w:rPr>
                <w:b/>
                <w:bCs/>
              </w:rPr>
              <w:t xml:space="preserve">Identificación y NIT</w:t>
            </w:r>
          </w:p>
        </w:tc>
        <w:tc>
          <w:p>
            <w:r>
              <w:t xml:space="preserve">C.C. 1102849760 | NIT 1102849760-5 (Sujeto a verificación con RUT)</w:t>
            </w:r>
          </w:p>
        </w:tc>
      </w:tr>
      <w:tr>
        <w:tc>
          <w:p>
            <w:r>
              <w:rPr>
                <w:b/>
                <w:bCs/>
              </w:rPr>
              <w:t xml:space="preserve">Registro Mercantil</w:t>
            </w:r>
          </w:p>
        </w:tc>
        <w:tc>
          <w:p>
            <w:r>
              <w:t xml:space="preserve">Cámara de Comercio de Sincelejo — Matrícula 148131 (Activa 2026 - Sujeta a cotejo con certificado mercantil)</w:t>
            </w:r>
          </w:p>
        </w:tc>
      </w:tr>
      <w:tr>
        <w:tc>
          <w:p>
            <w:r>
              <w:rPr>
                <w:b/>
                <w:bCs/>
              </w:rPr>
              <w:t xml:space="preserve">Actividad Económica</w:t>
            </w:r>
          </w:p>
        </w:tc>
        <w:tc>
          <w:p>
            <w:r>
              <w:t xml:space="preserve">CIIU 6312 — Portales Web y Servicios de Procesamiento de Datos</w:t>
            </w:r>
          </w:p>
        </w:tc>
      </w:tr>
      <w:tr>
        <w:tc>
          <w:p>
            <w:r>
              <w:rPr>
                <w:b/>
                <w:bCs/>
              </w:rPr>
              <w:t xml:space="preserve">Domicilio Legal</w:t>
            </w:r>
          </w:p>
        </w:tc>
        <w:tc>
          <w:p>
            <w:r>
              <w:t xml:space="preserve">Sincelejo, Sucre, Colombia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1. Objeto y Alcance de la Política de Seguridad</w:t>
      </w:r>
    </w:p>
    <w:p>
      <w:r>
        <w:rPr>
          <w:color w:val="1E293B"/>
          <w:sz w:val="20"/>
          <w:szCs w:val="20"/>
        </w:rPr>
        <w:t xml:space="preserve">El presente documento formaliza los lineamientos, salvaguardas tecnológicas y procedimientos operativos implementados por OdontoCloud Colombia para preservar la confidencialidad, integridad, disponibilidad y trazabilidad de los datos asistenciales y administrativos gestionados a través de la plataforma SaaS.</w:t>
      </w:r>
    </w:p>
    <w:p>
      <w:r>
        <w:rPr>
          <w:color w:val="1E293B"/>
          <w:sz w:val="20"/>
          <w:szCs w:val="20"/>
        </w:rPr>
        <w:t xml:space="preserve">Esta política aplica a todos los componentes de la arquitectura: servidores virtuales en nube (VPS), contenedores Docker, bases de datos PostgreSQL, pasarelas de conexión (Kong API Gateway, PostgREST), endpoints criptográficos y mecanismos de comunicación con terminales cliente en consultorios e IPS.</w:t>
      </w: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2. Salvaguardas Criptográficas (Cifrado en Reposo y en Tránsito)</w:t>
      </w:r>
    </w:p>
    <w:p>
      <w:r>
        <w:rPr>
          <w:color w:val="1E293B"/>
          <w:sz w:val="20"/>
          <w:szCs w:val="20"/>
        </w:rPr>
        <w:t xml:space="preserve">OdontoCloud implementa controles criptográficos de estándar bancario y hospitalario conforme a las mejores prácticas internacionales (ISO/IEC 27001:2022 y lineamientos NIST SP 800-52):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Dimensión Criptográfica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Estándar / Algoritmo Implementado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Aplicación Concreta en el Sistema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Cifrado en Tránsito (Network)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Protocolo Transport Layer Security (TLS 1.3) con suites de cifrado seguras (ECDHE-RSA-AES256-GCM-SHA384).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100% de las comunicaciones web, API REST, WebSockets y transmisiones con MinSalud y Factus. Prohibición de HTTP plano.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Cifrado Simétrico en Reposo (Database)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Advanced Encryption Standard en modo Galois/Counter Mode (AES-256-GCM) con vector de 12 bytes y Auth Tag de 16 bytes.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Cifrado de credenciales de integración de cada clínica (claves APIM, secretos Entra ID y tokens). Jamás se guardan en texto plano.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Almacenamiento de Contraseñas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Algoritmo de hash criptográfico unidireccional con salt dinámico (Argon2id / Bcrypt, factor de coste 10+).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Protección de credenciales de acceso de doctores y personal administrativo. Imposibilidad de recuperación en texto plano.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Firmas Electrónicas Confiables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Resumen criptográfico SHA-256 encadenado a la clave secreta de sesión del profesional tratante.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Certificación de cierre de historias clínicas, garantizando que cualquier modificación posterior invalide el hash.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3. Prevención de Vulnerabilidades (Alineación OWASP Top 10)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Inyección SQL (SQLi): Eliminación total de concatenación de strings en sentencias SQL. Toda consulta viaja a través de la capa PostgREST con tipado estricto y prepared statements.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Ataques de Secuencias de Comandos en Sitios Cruzados (XSS): Sanitización obligatoria del contenido HTML mediante biblioteca especializada (DOMPurify) antes de cualquier renderizado en pantalla.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Asignación Masiva y Falsificación de Solicitudes (CSRF): Uso de tokens JWT firmados en cabeceras de autorización Bearer, prescindiendo de cookies de sesión vulnerables a CSRF.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Rotura de Control de Acceso (BOLA / IDOR): Políticas obligatorias de Row Level Security (RLS) en el motor de base de datos PostgreSQL, impidiendo que un usuario acceda a datos de otra sede o clínica alterando IDs en la URL.</w:t>
      </w: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4. Gestión y Notificación de Incidentes de Seguridad</w:t>
      </w:r>
    </w:p>
    <w:p>
      <w:r>
        <w:rPr>
          <w:color w:val="1E293B"/>
          <w:sz w:val="20"/>
          <w:szCs w:val="20"/>
        </w:rPr>
        <w:t xml:space="preserve">OdontoCloud cuenta con un protocolo formal de respuesta ante incidentes de ciberseguridad: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BEB" w:val="clear"/>
          </w:tcPr>
          <w:p>
            <w:r>
              <w:rPr>
                <w:color w:val="B45309"/>
                <w:sz w:val="19"/>
                <w:szCs w:val="19"/>
              </w:rPr>
              <w:t xml:space="preserve">🚨 Procedimiento de Notificación a la IPS ante Incidentes (Ley 1581/2012)
En caso de detectarse un evento de seguridad comprobado que comprometa la confidencialidad de datos personales o clínicos de los pacientes (fuga de información o acceso no autorizado no mitigado): 1. Contención Inmediata: Aislamiento de sesiones y rotación inmediata de secretos en un plazo inferior a 2 horas. 2. Notificación Formal al Prestador: Comunicación escrita a la Dirección Médica de la IPS en un plazo máximo de veinticuatro (24) horas hábiles, detallando el vector de ataque, el alcance potencial y las medidas correctivas aplicadas. 3. Soporte para Reporte SIC: Suministro del informe forense para que el Prestador (como Responsable) cumpla con su deber de notificación a la Superintendencia de Industria y Comercio (SIC).</w:t>
            </w:r>
          </w:p>
        </w:tc>
      </w:tr>
    </w:tbl>
    <w:p/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ELABORÓ (TÉCNICO / INGENIERÍA)</w:t>
            </w:r>
          </w:p>
        </w:tc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REVISÓ (AUDITORÍA / COMPLIANCE)</w:t>
            </w:r>
          </w:p>
        </w:tc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APROBÓ (DIRECCIÓN / LEGAL)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Equipo de Arquitectura e Ingeniería SaaS
OdontoCloud Colombia
Fecha: Octubre de 2026
Estado: Aprobado Técnico</w:t>
            </w:r>
          </w:p>
        </w:tc>
        <w:tc>
          <w:p>
            <w:r>
              <w:rPr>
                <w:sz w:val="16"/>
                <w:szCs w:val="16"/>
              </w:rPr>
              <w:t xml:space="preserve">[PENDIENTE DE DESIGNACIÓN: Ingeniero de Sistemas con Matrícula Profesional COPNIA]
PENDIENTE DE VALIDACIÓN MATRÍCULA COPNIA</w:t>
            </w:r>
          </w:p>
        </w:tc>
        <w:tc>
          <w:p>
            <w:r>
              <w:rPr>
                <w:sz w:val="16"/>
                <w:szCs w:val="16"/>
              </w:rPr>
              <w:t xml:space="preserve">JUAN EDUARDO MADRID REQUENA (Titular / Propietario)
C.C. 1102849760 | NIT 1102849760-5 (Sujeto a verificación con RUT)
PENDIENTE DE FIRMA PROTOCOLARIA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Documento Institucional OdontoCloud © 2026 — En Revisión Previa a Firmas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D9488"/>
        <w:sz w:val="18"/>
        <w:szCs w:val="18"/>
      </w:rPr>
      <w:t xml:space="preserve">OdontoCloud Colombia | DOC-05 — Versión 2026.1 (Release 8.2)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237e35a04e1c19cc44619e976cb65ae4a3780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DOC-05 — Política y Procedimientos de Seguridad de la Información</dc:title>
  <dc:creator>OdontoCloud Colombia</dc:creator>
  <dc:description>Directrices de Ciberseguridad, Salvaguardas Criptográficas, Prevención OWASP y Gestión de Incidentes</dc:description>
  <cp:lastModifiedBy>Un-named</cp:lastModifiedBy>
  <cp:revision>1</cp:revision>
  <dcterms:created xsi:type="dcterms:W3CDTF">2026-10-14T19:48:23.630Z</dcterms:created>
  <dcterms:modified xsi:type="dcterms:W3CDTF">2026-10-14T19:48:23.630Z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