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drawing>
          <wp:inline distT="0" distB="0" distL="0" distR="0">
            <wp:extent cx="952500" cy="952500"/>
            <wp:effectExtent t="0" r="0" b="0" l="0"/>
            <wp:docPr id="1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bCs/>
          <w:color w:val="0F172A"/>
          <w:sz w:val="28"/>
          <w:szCs w:val="28"/>
        </w:rPr>
        <w:t xml:space="preserve">DOC-08</w:t>
      </w:r>
    </w:p>
    <w:p>
      <w:pPr>
        <w:pStyle w:val="Heading1"/>
        <w:jc w:val="center"/>
      </w:pPr>
      <w:r>
        <w:rPr>
          <w:b/>
          <w:bCs/>
          <w:color w:val="0D9488"/>
          <w:sz w:val="34"/>
          <w:szCs w:val="34"/>
        </w:rPr>
        <w:t xml:space="preserve">Plan de Copias de Seguridad, Restauración y Continuidad Operativa</w:t>
      </w:r>
    </w:p>
    <w:p>
      <w:pPr>
        <w:jc w:val="center"/>
      </w:pPr>
      <w:r>
        <w:rPr>
          <w:color w:val="475569"/>
          <w:sz w:val="20"/>
          <w:szCs w:val="20"/>
        </w:rPr>
        <w:t xml:space="preserve">Estrategia de Respaldos Transaccionales, Pruebas de Restauración y Plan de Contingencia Física en Sede</w:t>
      </w:r>
    </w:p>
    <w:p/>
    <w:p>
      <w:pPr>
        <w:jc w:val="center"/>
      </w:pPr>
      <w:r>
        <w:rPr>
          <w:b/>
          <w:bCs/>
          <w:color w:val="B45309"/>
          <w:sz w:val="18"/>
          <w:szCs w:val="18"/>
        </w:rPr>
        <w:t xml:space="preserve">ESTADO: DOCUMENTACIÓN INSTITUCIONAL EN REVISIÓN (Borrador Oficial previo a firmas legales y validación COPNIA)</w:t>
      </w:r>
    </w:p>
    <w:p/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p>
            <w:r>
              <w:rPr>
                <w:b/>
                <w:bCs/>
              </w:rPr>
              <w:t xml:space="preserve">Código Documental</w:t>
            </w:r>
          </w:p>
        </w:tc>
        <w:tc>
          <w:p>
            <w:r>
              <w:t xml:space="preserve">DOC-08</w:t>
            </w:r>
          </w:p>
        </w:tc>
      </w:tr>
      <w:tr>
        <w:tc>
          <w:p>
            <w:r>
              <w:rPr>
                <w:b/>
                <w:bCs/>
              </w:rPr>
              <w:t xml:space="preserve">Versión Oficial</w:t>
            </w:r>
          </w:p>
        </w:tc>
        <w:tc>
          <w:p>
            <w:r>
              <w:t xml:space="preserve">2026.1 (Release 8.2)</w:t>
            </w:r>
          </w:p>
        </w:tc>
      </w:tr>
      <w:tr>
        <w:tc>
          <w:p>
            <w:r>
              <w:rPr>
                <w:b/>
                <w:bCs/>
              </w:rPr>
              <w:t xml:space="preserve">Fecha de Emisión</w:t>
            </w:r>
          </w:p>
        </w:tc>
        <w:tc>
          <w:p>
            <w:r>
              <w:t xml:space="preserve">Octubre de 2026</w:t>
            </w:r>
          </w:p>
        </w:tc>
      </w:tr>
      <w:tr>
        <w:tc>
          <w:p>
            <w:r>
              <w:rPr>
                <w:b/>
                <w:bCs/>
              </w:rPr>
              <w:t xml:space="preserve">Proveedor / Titular</w:t>
            </w:r>
          </w:p>
        </w:tc>
        <w:tc>
          <w:p>
            <w:r>
              <w:t xml:space="preserve">JUAN EDUARDO MADRID REQUENA (Persona Natural con Registro Mercantil)</w:t>
            </w:r>
          </w:p>
        </w:tc>
      </w:tr>
      <w:tr>
        <w:tc>
          <w:p>
            <w:r>
              <w:rPr>
                <w:b/>
                <w:bCs/>
              </w:rPr>
              <w:t xml:space="preserve">Identificación y NIT</w:t>
            </w:r>
          </w:p>
        </w:tc>
        <w:tc>
          <w:p>
            <w:r>
              <w:t xml:space="preserve">C.C. 1102849760 | NIT 1102849760-5 (Sujeto a verificación con RUT)</w:t>
            </w:r>
          </w:p>
        </w:tc>
      </w:tr>
      <w:tr>
        <w:tc>
          <w:p>
            <w:r>
              <w:rPr>
                <w:b/>
                <w:bCs/>
              </w:rPr>
              <w:t xml:space="preserve">Registro Mercantil</w:t>
            </w:r>
          </w:p>
        </w:tc>
        <w:tc>
          <w:p>
            <w:r>
              <w:t xml:space="preserve">Cámara de Comercio de Sincelejo — Matrícula 148131 (Activa 2026 - Sujeta a cotejo con certificado mercantil)</w:t>
            </w:r>
          </w:p>
        </w:tc>
      </w:tr>
      <w:tr>
        <w:tc>
          <w:p>
            <w:r>
              <w:rPr>
                <w:b/>
                <w:bCs/>
              </w:rPr>
              <w:t xml:space="preserve">Actividad Económica</w:t>
            </w:r>
          </w:p>
        </w:tc>
        <w:tc>
          <w:p>
            <w:r>
              <w:t xml:space="preserve">CIIU 6312 — Portales Web y Servicios de Procesamiento de Datos</w:t>
            </w:r>
          </w:p>
        </w:tc>
      </w:tr>
      <w:tr>
        <w:tc>
          <w:p>
            <w:r>
              <w:rPr>
                <w:b/>
                <w:bCs/>
              </w:rPr>
              <w:t xml:space="preserve">Domicilio Legal</w:t>
            </w:r>
          </w:p>
        </w:tc>
        <w:tc>
          <w:p>
            <w:r>
              <w:t xml:space="preserve">Sincelejo, Sucre, Colombia</w:t>
            </w:r>
          </w:p>
        </w:tc>
      </w:tr>
    </w:tbl>
    <w:p/>
    <w:p>
      <w:pPr>
        <w:pStyle w:val="Heading1"/>
      </w:pPr>
      <w:r>
        <w:rPr>
          <w:b/>
          <w:bCs/>
          <w:color w:val="0F172A"/>
          <w:sz w:val="26"/>
          <w:szCs w:val="26"/>
        </w:rPr>
        <w:t xml:space="preserve">1. Realidad Técnica Comprobable de las Copias de Seguridad</w:t>
      </w:r>
    </w:p>
    <w:p>
      <w:r>
        <w:rPr>
          <w:color w:val="1E293B"/>
          <w:sz w:val="20"/>
          <w:szCs w:val="20"/>
        </w:rPr>
        <w:t xml:space="preserve">En atención a las directrices de habilitación de la Resolución 3100 de 2019 y el estándar de gestión documental, se describe con absoluta transparencia técnica el mecanismo real de respaldos que opera sobre la plataforma OdontoCloud Colombia: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shd w:fill="FFFBEB" w:val="clear"/>
          </w:tcPr>
          <w:p>
            <w:r>
              <w:rPr>
                <w:color w:val="B45309"/>
                <w:sz w:val="19"/>
                <w:szCs w:val="19"/>
              </w:rPr>
              <w:t xml:space="preserve">⚠️ Transparencia Auditora: Evidencia Técnica vs Metas de Diseño
Para evitar observaciones en visitas de auditoría, se hace constar que los tiempos de recuperación (RPO y RTO) expresados en este documento corresponden a metas de diseño de la arquitectura tecnológica. Las copias de seguridad de PostgreSQL se generan mediante dumps transaccionales comprimidos (pg_dump -Fc) y snapshots de volumen en el orquestador Coolify. La IPS o consultorio debe formalizar internamente en su Comité de Calidad la realización y acta del simulacro de restauración anual.</w:t>
            </w:r>
          </w:p>
        </w:tc>
      </w:tr>
    </w:tbl>
    <w:p/>
    <w:p>
      <w:pPr>
        <w:pStyle w:val="Heading1"/>
      </w:pPr>
      <w:r>
        <w:rPr>
          <w:b/>
          <w:bCs/>
          <w:color w:val="0F172A"/>
          <w:sz w:val="26"/>
          <w:szCs w:val="26"/>
        </w:rPr>
        <w:t xml:space="preserve">2. Cronograma y Tipología de Respaldos en Nube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9"/>
        <w:gridCol w:w="3009"/>
        <w:gridCol w:w="3009"/>
      </w:tblGrid>
      <w:tr>
        <w:tc>
          <w:tcPr>
            <w:shd w:fill="0F172A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Tipo de Respaldo</w:t>
            </w:r>
          </w:p>
        </w:tc>
        <w:tc>
          <w:tcPr>
            <w:shd w:fill="0F172A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Herramienta y Comando</w:t>
            </w:r>
          </w:p>
        </w:tc>
        <w:tc>
          <w:tcPr>
            <w:shd w:fill="0F172A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Frecuencia y Destino</w:t>
            </w:r>
          </w:p>
        </w:tc>
      </w:tr>
      <w:tr>
        <w:tc>
          <w:p>
            <w:r>
              <w:rPr>
                <w:color w:val="1E293B"/>
                <w:sz w:val="17"/>
                <w:szCs w:val="17"/>
              </w:rPr>
              <w:t xml:space="preserve">Copia Lógica Transaccional</w:t>
            </w:r>
          </w:p>
        </w:tc>
        <w:tc>
          <w:p>
            <w:r>
              <w:rPr>
                <w:color w:val="1E293B"/>
                <w:sz w:val="17"/>
                <w:szCs w:val="17"/>
              </w:rPr>
              <w:t xml:space="preserve">pg_dump -Fc (Custom format con compresión y checksums)</w:t>
            </w:r>
          </w:p>
        </w:tc>
        <w:tc>
          <w:p>
            <w:r>
              <w:rPr>
                <w:color w:val="1E293B"/>
                <w:sz w:val="17"/>
                <w:szCs w:val="17"/>
              </w:rPr>
              <w:t xml:space="preserve">Diaria a las 02:00 AM (COT). Almacenamiento cifrado con retención de 30 días.</w:t>
            </w:r>
          </w:p>
        </w:tc>
      </w:tr>
      <w:tr>
        <w:tc>
          <w:p>
            <w:r>
              <w:rPr>
                <w:color w:val="1E293B"/>
                <w:sz w:val="17"/>
                <w:szCs w:val="17"/>
              </w:rPr>
              <w:t xml:space="preserve">Instantánea de Volumen (Snapshot)</w:t>
            </w:r>
          </w:p>
        </w:tc>
        <w:tc>
          <w:p>
            <w:r>
              <w:rPr>
                <w:color w:val="1E293B"/>
                <w:sz w:val="17"/>
                <w:szCs w:val="17"/>
              </w:rPr>
              <w:t xml:space="preserve">Docker Volume Snapshots / Snapshot de disco VPS</w:t>
            </w:r>
          </w:p>
        </w:tc>
        <w:tc>
          <w:p>
            <w:r>
              <w:rPr>
                <w:color w:val="1E293B"/>
                <w:sz w:val="17"/>
                <w:szCs w:val="17"/>
              </w:rPr>
              <w:t xml:space="preserve">Semanal y previo a despliegues de nuevos releases de software.</w:t>
            </w:r>
          </w:p>
        </w:tc>
      </w:tr>
      <w:tr>
        <w:tc>
          <w:p>
            <w:r>
              <w:rPr>
                <w:color w:val="1E293B"/>
                <w:sz w:val="17"/>
                <w:szCs w:val="17"/>
              </w:rPr>
              <w:t xml:space="preserve">Exportación de Archivos Adjuntos</w:t>
            </w:r>
          </w:p>
        </w:tc>
        <w:tc>
          <w:p>
            <w:r>
              <w:rPr>
                <w:color w:val="1E293B"/>
                <w:sz w:val="17"/>
                <w:szCs w:val="17"/>
              </w:rPr>
              <w:t xml:space="preserve">Sincronización de buckets de Storage (radiografías/consentimientos)</w:t>
            </w:r>
          </w:p>
        </w:tc>
        <w:tc>
          <w:p>
            <w:r>
              <w:rPr>
                <w:color w:val="1E293B"/>
                <w:sz w:val="17"/>
                <w:szCs w:val="17"/>
              </w:rPr>
              <w:t xml:space="preserve">Diaria incremental hacia almacenamiento georredundante.</w:t>
            </w:r>
          </w:p>
        </w:tc>
      </w:tr>
    </w:tbl>
    <w:p/>
    <w:p>
      <w:pPr>
        <w:pStyle w:val="Heading1"/>
      </w:pPr>
      <w:r>
        <w:rPr>
          <w:b/>
          <w:bCs/>
          <w:color w:val="0F172A"/>
          <w:sz w:val="26"/>
          <w:szCs w:val="26"/>
        </w:rPr>
        <w:t xml:space="preserve">3. Procedimiento de Restauración y Pruebas Periódicas</w:t>
      </w:r>
    </w:p>
    <w:p>
      <w:pPr>
        <w:pStyle w:val="ListParagraph"/>
        <w:numPr>
          <w:ilvl w:val="0"/>
          <w:numId w:val="1"/>
        </w:numPr>
      </w:pPr>
      <w:r>
        <w:rPr>
          <w:color w:val="1E293B"/>
          <w:sz w:val="19"/>
          <w:szCs w:val="19"/>
        </w:rPr>
        <w:t xml:space="preserve">Detección y Declaración de Incidencia: Identificación de corrupción de datos o falla mayor de hardware que requiera recuperación.</w:t>
      </w:r>
    </w:p>
    <w:p>
      <w:pPr>
        <w:pStyle w:val="ListParagraph"/>
        <w:numPr>
          <w:ilvl w:val="0"/>
          <w:numId w:val="1"/>
        </w:numPr>
      </w:pPr>
      <w:r>
        <w:rPr>
          <w:color w:val="1E293B"/>
          <w:sz w:val="19"/>
          <w:szCs w:val="19"/>
        </w:rPr>
        <w:t xml:space="preserve">Aislamiento del Entorno: Suspensión temporal de conexiones cliente para evitar transacciones intermedias.</w:t>
      </w:r>
    </w:p>
    <w:p>
      <w:pPr>
        <w:pStyle w:val="ListParagraph"/>
        <w:numPr>
          <w:ilvl w:val="0"/>
          <w:numId w:val="1"/>
        </w:numPr>
      </w:pPr>
      <w:r>
        <w:rPr>
          <w:color w:val="1E293B"/>
          <w:sz w:val="19"/>
          <w:szCs w:val="19"/>
        </w:rPr>
        <w:t xml:space="preserve">Aprovisionamiento de Instancia Limpia: Despliegue de un contenedor PostgreSQL limpio desde imagen verificada.</w:t>
      </w:r>
    </w:p>
    <w:p>
      <w:pPr>
        <w:pStyle w:val="ListParagraph"/>
        <w:numPr>
          <w:ilvl w:val="0"/>
          <w:numId w:val="1"/>
        </w:numPr>
      </w:pPr>
      <w:r>
        <w:rPr>
          <w:color w:val="1E293B"/>
          <w:sz w:val="19"/>
          <w:szCs w:val="19"/>
        </w:rPr>
        <w:t xml:space="preserve">Ejecución del Comando de Restauración: pg_restore -d postgres --clean --if-exists backup_file.dump con validación de integridad referencial.</w:t>
      </w:r>
    </w:p>
    <w:p>
      <w:pPr>
        <w:pStyle w:val="ListParagraph"/>
        <w:numPr>
          <w:ilvl w:val="0"/>
          <w:numId w:val="1"/>
        </w:numPr>
      </w:pPr>
      <w:r>
        <w:rPr>
          <w:color w:val="1E293B"/>
          <w:sz w:val="19"/>
          <w:szCs w:val="19"/>
        </w:rPr>
        <w:t xml:space="preserve">Verificación de Consistencia: Ejecución de consultas de validación sobre tablas críticas (pacientes, citas, evoluciones cerradas e índices).</w:t>
      </w:r>
    </w:p>
    <w:p>
      <w:pPr>
        <w:pStyle w:val="ListParagraph"/>
        <w:numPr>
          <w:ilvl w:val="0"/>
          <w:numId w:val="1"/>
        </w:numPr>
      </w:pPr>
      <w:r>
        <w:rPr>
          <w:color w:val="1E293B"/>
          <w:sz w:val="19"/>
          <w:szCs w:val="19"/>
        </w:rPr>
        <w:t xml:space="preserve">Reanudación del Tráfico: Reactivación del enrutamiento a través de Kong API Gateway y emisión del reporte de normalización.</w:t>
      </w:r>
    </w:p>
    <w:p>
      <w:pPr>
        <w:pStyle w:val="Heading1"/>
      </w:pPr>
      <w:r>
        <w:rPr>
          <w:b/>
          <w:bCs/>
          <w:color w:val="0F172A"/>
          <w:sz w:val="26"/>
          <w:szCs w:val="26"/>
        </w:rPr>
        <w:t xml:space="preserve">4. Plan de Contingencia Asistencial Físico (En Consultorio)</w:t>
      </w:r>
    </w:p>
    <w:p>
      <w:r>
        <w:rPr>
          <w:color w:val="1E293B"/>
          <w:sz w:val="20"/>
          <w:szCs w:val="20"/>
        </w:rPr>
        <w:t xml:space="preserve">Ante eventos de fuerza mayor que impidan el acceso a internet o causen corte de energía eléctrica prolongado en las instalaciones de la clínica: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shd w:fill="F0FDFA" w:val="clear"/>
          </w:tcPr>
          <w:p>
            <w:r>
              <w:rPr>
                <w:color w:val="0F766E"/>
                <w:sz w:val="19"/>
                <w:szCs w:val="19"/>
              </w:rPr>
              <w:t xml:space="preserve">📋 Protocolo de Contingencia Física Obligatorio
1. Formatos Físicos de Contingencia: La clínica debe mantener en recepción y consultorios un stock de formularios impresos de contingencia (ficha de evolución odontológica y odontograma en papel).
2. Registro Asistencial Simultáneo: El odontólogo diligencia manualmente en papel la atención con firma autógrafa y sello profesional para no interrumpir el servicio de salud.
3. Transcripción Posterior Obligatoria: Una vez restablecida la conectividad o energía, el personal dispone de un plazo máximo perentorio de veinticuatro (24) horas para transcribir íntegramente la atención al sistema OdontoCloud, marcando la opción "Atención en Contingencia Física" y adjuntando la fotografía o escaneo del documento físico.</w:t>
            </w:r>
          </w:p>
        </w:tc>
      </w:tr>
    </w:tbl>
    <w:p/>
    <w:p/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9"/>
        <w:gridCol w:w="3009"/>
        <w:gridCol w:w="3009"/>
      </w:tblGrid>
      <w:tr>
        <w:tc>
          <w:tcPr>
            <w:shd w:fill="334155" w:val="clear"/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ELABORÓ (TÉCNICO / INGENIERÍA)</w:t>
            </w:r>
          </w:p>
        </w:tc>
        <w:tc>
          <w:tcPr>
            <w:shd w:fill="334155" w:val="clear"/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REVISÓ (AUDITORÍA / COMPLIANCE)</w:t>
            </w:r>
          </w:p>
        </w:tc>
        <w:tc>
          <w:tcPr>
            <w:shd w:fill="334155" w:val="clear"/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APROBÓ (DIRECCIÓN / LEGAL)</w:t>
            </w:r>
          </w:p>
        </w:tc>
      </w:tr>
      <w:tr>
        <w:tc>
          <w:p>
            <w:r>
              <w:rPr>
                <w:sz w:val="16"/>
                <w:szCs w:val="16"/>
              </w:rPr>
              <w:t xml:space="preserve">Equipo de Arquitectura e Ingeniería SaaS
OdontoCloud Colombia
Fecha: Octubre de 2026
Estado: Aprobado Técnico</w:t>
            </w:r>
          </w:p>
        </w:tc>
        <w:tc>
          <w:p>
            <w:r>
              <w:rPr>
                <w:sz w:val="16"/>
                <w:szCs w:val="16"/>
              </w:rPr>
              <w:t xml:space="preserve">[PENDIENTE DE DESIGNACIÓN: Ingeniero de Sistemas con Matrícula Profesional COPNIA]
PENDIENTE DE VALIDACIÓN MATRÍCULA COPNIA</w:t>
            </w:r>
          </w:p>
        </w:tc>
        <w:tc>
          <w:p>
            <w:r>
              <w:rPr>
                <w:sz w:val="16"/>
                <w:szCs w:val="16"/>
              </w:rPr>
              <w:t xml:space="preserve">JUAN EDUARDO MADRID REQUENA (Titular / Propietario)
C.C. 1102849760 | NIT 1102849760-5 (Sujeto a verificación con RUT)
PENDIENTE DE FIRMA PROTOCOLARIA</w:t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4748B"/>
        <w:sz w:val="16"/>
        <w:szCs w:val="16"/>
      </w:rPr>
      <w:t xml:space="preserve">Documento Institucional OdontoCloud © 2026 — En Revisión Previa a Firmas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b/>
        <w:bCs/>
        <w:color w:val="0D9488"/>
        <w:sz w:val="18"/>
        <w:szCs w:val="18"/>
      </w:rPr>
      <w:t xml:space="preserve">OdontoCloud Colombia | DOC-08 — Versión 2026.1 (Release 8.2)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image" Target="media/a237e35a04e1c19cc44619e976cb65ae4a378063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DOC-08 — Plan de Copias de Seguridad, Restauración y Continuidad Operativa</dc:title>
  <dc:creator>OdontoCloud Colombia</dc:creator>
  <dc:description>Estrategia de Respaldos Transaccionales, Pruebas de Restauración y Plan de Contingencia Física en Sede</dc:description>
  <cp:lastModifiedBy>Un-named</cp:lastModifiedBy>
  <cp:revision>1</cp:revision>
  <dcterms:created xsi:type="dcterms:W3CDTF">2026-10-14T19:48:26.812Z</dcterms:created>
  <dcterms:modified xsi:type="dcterms:W3CDTF">2026-10-14T19:48:26.812Z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