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952500" cy="9525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0F172A"/>
          <w:sz w:val="28"/>
          <w:szCs w:val="28"/>
        </w:rPr>
        <w:t xml:space="preserve">DOC-07</w:t>
      </w:r>
    </w:p>
    <w:p>
      <w:pPr>
        <w:pStyle w:val="Heading1"/>
        <w:jc w:val="center"/>
      </w:pPr>
      <w:r>
        <w:rPr>
          <w:b/>
          <w:bCs/>
          <w:color w:val="0D9488"/>
          <w:sz w:val="34"/>
          <w:szCs w:val="34"/>
        </w:rPr>
        <w:t xml:space="preserve">Manual de Trazabilidad, Auditoría y Control de Accesos</w:t>
      </w:r>
    </w:p>
    <w:p>
      <w:pPr>
        <w:jc w:val="center"/>
      </w:pPr>
      <w:r>
        <w:rPr>
          <w:color w:val="475569"/>
          <w:sz w:val="20"/>
          <w:szCs w:val="20"/>
        </w:rPr>
        <w:t xml:space="preserve">Pistas Forenses, Segregación de Funciones, Bitácoras Inmutables y Protocolo Break-Glass</w:t>
      </w:r>
    </w:p>
    <w:p/>
    <w:p>
      <w:pPr>
        <w:jc w:val="center"/>
      </w:pPr>
      <w:r>
        <w:rPr>
          <w:b/>
          <w:bCs/>
          <w:color w:val="B45309"/>
          <w:sz w:val="18"/>
          <w:szCs w:val="18"/>
        </w:rPr>
        <w:t xml:space="preserve">ESTADO: DOCUMENTACIÓN INSTITUCIONAL EN REVISIÓN (Borrador Oficial previo a firmas legales y validación COPNIA)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Código Documental</w:t>
            </w:r>
          </w:p>
        </w:tc>
        <w:tc>
          <w:p>
            <w:r>
              <w:t xml:space="preserve">DOC-07</w:t>
            </w:r>
          </w:p>
        </w:tc>
      </w:tr>
      <w:tr>
        <w:tc>
          <w:p>
            <w:r>
              <w:rPr>
                <w:b/>
                <w:bCs/>
              </w:rPr>
              <w:t xml:space="preserve">Versión Oficial</w:t>
            </w:r>
          </w:p>
        </w:tc>
        <w:tc>
          <w:p>
            <w:r>
              <w:t xml:space="preserve">2026.1 (Release 8.2)</w:t>
            </w:r>
          </w:p>
        </w:tc>
      </w:tr>
      <w:tr>
        <w:tc>
          <w:p>
            <w:r>
              <w:rPr>
                <w:b/>
                <w:bCs/>
              </w:rPr>
              <w:t xml:space="preserve">Fecha de Emisión</w:t>
            </w:r>
          </w:p>
        </w:tc>
        <w:tc>
          <w:p>
            <w:r>
              <w:t xml:space="preserve">Octubre de 2026</w:t>
            </w:r>
          </w:p>
        </w:tc>
      </w:tr>
      <w:tr>
        <w:tc>
          <w:p>
            <w:r>
              <w:rPr>
                <w:b/>
                <w:bCs/>
              </w:rPr>
              <w:t xml:space="preserve">Proveedor / Titular</w:t>
            </w:r>
          </w:p>
        </w:tc>
        <w:tc>
          <w:p>
            <w:r>
              <w:t xml:space="preserve">JUAN EDUARDO MADRID REQUENA (Persona Natural con Registro Mercantil)</w:t>
            </w:r>
          </w:p>
        </w:tc>
      </w:tr>
      <w:tr>
        <w:tc>
          <w:p>
            <w:r>
              <w:rPr>
                <w:b/>
                <w:bCs/>
              </w:rPr>
              <w:t xml:space="preserve">Identificación y NIT</w:t>
            </w:r>
          </w:p>
        </w:tc>
        <w:tc>
          <w:p>
            <w:r>
              <w:t xml:space="preserve">C.C. 1102849760 | NIT 1102849760-5 (Sujeto a verificación con RUT)</w:t>
            </w:r>
          </w:p>
        </w:tc>
      </w:tr>
      <w:tr>
        <w:tc>
          <w:p>
            <w:r>
              <w:rPr>
                <w:b/>
                <w:bCs/>
              </w:rPr>
              <w:t xml:space="preserve">Registro Mercantil</w:t>
            </w:r>
          </w:p>
        </w:tc>
        <w:tc>
          <w:p>
            <w:r>
              <w:t xml:space="preserve">Cámara de Comercio de Sincelejo — Matrícula 148131 (Activa 2026 - Sujeta a cotejo con certificado mercantil)</w:t>
            </w:r>
          </w:p>
        </w:tc>
      </w:tr>
      <w:tr>
        <w:tc>
          <w:p>
            <w:r>
              <w:rPr>
                <w:b/>
                <w:bCs/>
              </w:rPr>
              <w:t xml:space="preserve">Actividad Económica</w:t>
            </w:r>
          </w:p>
        </w:tc>
        <w:tc>
          <w:p>
            <w:r>
              <w:t xml:space="preserve">CIIU 6312 — Portales Web y Servicios de Procesamiento de Datos</w:t>
            </w:r>
          </w:p>
        </w:tc>
      </w:tr>
      <w:tr>
        <w:tc>
          <w:p>
            <w:r>
              <w:rPr>
                <w:b/>
                <w:bCs/>
              </w:rPr>
              <w:t xml:space="preserve">Domicilio Legal</w:t>
            </w:r>
          </w:p>
        </w:tc>
        <w:tc>
          <w:p>
            <w:r>
              <w:t xml:space="preserve">Sincelejo, Sucre, Colombia</w:t>
            </w:r>
          </w:p>
        </w:tc>
      </w:tr>
    </w:tbl>
    <w:p/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1. Principio de Trazabilidad y Segregación de Funciones</w:t>
      </w:r>
    </w:p>
    <w:p>
      <w:r>
        <w:rPr>
          <w:color w:val="1E293B"/>
          <w:sz w:val="20"/>
          <w:szCs w:val="20"/>
        </w:rPr>
        <w:t xml:space="preserve">En concordancia con el Estándar de Historia Clínica y Registros Asistenciales (Resolución 3100 de 2019), OdontoCloud garantiza la identificación no repudiable de cada usuario que interactúa con el sistema, impidiendo el uso de cuentas genéricas o compartidas.</w:t>
      </w:r>
    </w:p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2. Matriz de Roles y Permisos por Perfil Asistencial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Perfil / Rol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Permisos Concedidos en OdontoCloud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Restricciones Estrictas de Seguridad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Superadministrador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Aprovisionamiento de clínicas, monitoreo global de salud de infraestructura, facturación de suscripciones SaaS.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No tiene acceso a lectura ni edición de historias clínicas ni datos sensibles de pacientes de las clínicas.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Director Médico / Administrador de Clínica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Creación de usuarios doctores, configuración de sedes, lista de precios, tarifas, consecutivos DIAN, auditoría de folios y supervisión Break-Glass.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No puede alterar ni reabrir evoluciones cerradas por los odontólogos tratantes.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Profesional Odontólogo Tratante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Creación y diligenciamiento de historias clínicas, odontograma interactivo, diagnóstico CIE-10, procedimientos CUPS, prescripciones y firma digital de folios.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Solo puede cerrar evoluciones de las cuales es el profesional asignado. No puede modificar configuraciones globales de la clínica.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Recepción / Auxiliar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Asignación de citas en agenda, registro inicial de datos demográficos del paciente, facturación en caja y cobro de recibos.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Acceso denegado a notas clínicas privadas, diagnósticos detallados y firma de evoluciones.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Auditor Médico (Solo Lectura)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Consulta de expedientes, verificación de oportunidad en citas y exportación de reportes de calidad.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Totalmente inhabilitado para crear, modificar o alterar cualquier registro asistencial o financiero.</w:t>
            </w:r>
          </w:p>
        </w:tc>
      </w:tr>
    </w:tbl>
    <w:p/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3. Bitácora Forense y Registro Inmutable de Eventos</w:t>
      </w:r>
    </w:p>
    <w:p>
      <w:r>
        <w:rPr>
          <w:color w:val="1E293B"/>
          <w:sz w:val="20"/>
          <w:szCs w:val="20"/>
        </w:rPr>
        <w:t xml:space="preserve">El sistema genera pistas de auditoría automáticas a nivel de motor de datos y capa de aplicación: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Metadatos Obligatorios por Folio: Cada registro de evolución guarda de forma automática la fecha y hora UTC exacta (clock_timestamp() del servidor, no la hora del computador cliente), el identificador del usuario autenticado (auth.uid()), la cédula profesional del odontólogo y su firma electrónica confiable.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Bitácora de Eventos de Seguridad: Registro de inicios de sesión exitosos y fallidos, cambios de contraseñas, descargas de historias clínicas y modificaciones de parámetros tributarios.</w:t>
      </w:r>
    </w:p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4. Protocolo de Emergencia "Break-Glass" (Acceso Asistencial Urgente)</w:t>
      </w:r>
    </w:p>
    <w:p>
      <w:r>
        <w:rPr>
          <w:color w:val="1E293B"/>
          <w:sz w:val="20"/>
          <w:szCs w:val="20"/>
        </w:rPr>
        <w:t xml:space="preserve">En la atención en salud pueden presentarse situaciones de urgencia vital donde un odontólogo especialista o médico de turno debe consultar de inmediato antecedentes o alergias de un paciente cuyo odontólogo tratante no se encuentra disponible.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BEB" w:val="clear"/>
          </w:tcPr>
          <w:p>
            <w:r>
              <w:rPr>
                <w:color w:val="B45309"/>
                <w:sz w:val="19"/>
                <w:szCs w:val="19"/>
              </w:rPr>
              <w:t xml:space="preserve">🛡️ Protocolo Controlado Break-Glass en OdontoCloud
Para compatibilizar la protección de la privacidad con la preservación de la vida del paciente: 1. El profesional activa la opción "Acceso de Emergencia (Break-Glass)". 2. Justificación Obligatoria: El sistema exige ingresar una justificación clínica detallada del motivo de la urgencia. 3. Registro Indeleble: Se genera un evento de auditoría de máxima prioridad que registra al usuario que rompió el aislamiento, la hora exacta y el motivo manifestado bajo gravedad de juramento. 4. Alerta a Dirección Médica: Se emite una notificación inmediata en el panel del Administrador y Director Médico de la clínica para su control y verificación posterior.</w:t>
            </w:r>
          </w:p>
        </w:tc>
      </w:tr>
    </w:tbl>
    <w:p/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334155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ELABORÓ (TÉCNICO / INGENIERÍA)</w:t>
            </w:r>
          </w:p>
        </w:tc>
        <w:tc>
          <w:tcPr>
            <w:shd w:fill="334155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REVISÓ (AUDITORÍA / COMPLIANCE)</w:t>
            </w:r>
          </w:p>
        </w:tc>
        <w:tc>
          <w:tcPr>
            <w:shd w:fill="334155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APROBÓ (DIRECCIÓN / LEGAL)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Equipo de Arquitectura e Ingeniería SaaS
OdontoCloud Colombia
Fecha: Octubre de 2026
Estado: Aprobado Técnico</w:t>
            </w:r>
          </w:p>
        </w:tc>
        <w:tc>
          <w:p>
            <w:r>
              <w:rPr>
                <w:sz w:val="16"/>
                <w:szCs w:val="16"/>
              </w:rPr>
              <w:t xml:space="preserve">[PENDIENTE DE DESIGNACIÓN: Ingeniero de Sistemas con Matrícula Profesional COPNIA]
PENDIENTE DE VALIDACIÓN MATRÍCULA COPNIA</w:t>
            </w:r>
          </w:p>
        </w:tc>
        <w:tc>
          <w:p>
            <w:r>
              <w:rPr>
                <w:sz w:val="16"/>
                <w:szCs w:val="16"/>
              </w:rPr>
              <w:t xml:space="preserve">JUAN EDUARDO MADRID REQUENA (Titular / Propietario)
C.C. 1102849760 | NIT 1102849760-5 (Sujeto a verificación con RUT)
PENDIENTE DE FIRMA PROTOCOLARIA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Documento Institucional OdontoCloud © 2026 — En Revisión Previa a Firmas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D9488"/>
        <w:sz w:val="18"/>
        <w:szCs w:val="18"/>
      </w:rPr>
      <w:t xml:space="preserve">OdontoCloud Colombia | DOC-07 — Versión 2026.1 (Release 8.2)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237e35a04e1c19cc44619e976cb65ae4a37806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DOC-07 — Manual de Trazabilidad, Auditoría y Control de Accesos</dc:title>
  <dc:creator>OdontoCloud Colombia</dc:creator>
  <dc:description>Pistas Forenses, Segregación de Funciones, Bitácoras Inmutables y Protocolo Break-Glass</dc:description>
  <cp:lastModifiedBy>Un-named</cp:lastModifiedBy>
  <cp:revision>1</cp:revision>
  <dcterms:created xsi:type="dcterms:W3CDTF">2026-10-14T19:48:25.744Z</dcterms:created>
  <dcterms:modified xsi:type="dcterms:W3CDTF">2026-10-14T19:48:25.744Z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