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DOC-10</w:t>
      </w:r>
    </w:p>
    <w:p>
      <w:pPr>
        <w:pStyle w:val="Heading1"/>
        <w:jc w:val="center"/>
      </w:pPr>
      <w:r>
        <w:rPr>
          <w:b/>
          <w:bCs/>
          <w:color w:val="0D9488"/>
          <w:sz w:val="34"/>
          <w:szCs w:val="34"/>
        </w:rPr>
        <w:t xml:space="preserve">Manual de Soporte, Mantenimiento y Gestión de Incidentes</w:t>
      </w:r>
    </w:p>
    <w:p>
      <w:pPr>
        <w:jc w:val="center"/>
      </w:pPr>
      <w:r>
        <w:rPr>
          <w:color w:val="475569"/>
          <w:sz w:val="20"/>
          <w:szCs w:val="20"/>
        </w:rPr>
        <w:t xml:space="preserve">Políticas de Asistencia Técnica, Canales de Atención, Clasificación de Severidades y Metas de SLA</w:t>
      </w:r>
    </w:p>
    <w:p/>
    <w:p>
      <w:pPr>
        <w:jc w:val="center"/>
      </w:pPr>
      <w:r>
        <w:rPr>
          <w:b/>
          <w:bCs/>
          <w:color w:val="B45309"/>
          <w:sz w:val="18"/>
          <w:szCs w:val="18"/>
        </w:rPr>
        <w:t xml:space="preserve">ESTADO: DOCUMENTACIÓN INSTITUCIONAL EN REVISIÓN (Borrador Oficial previo a firmas legales y validación COPNIA)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Código Documental</w:t>
            </w:r>
          </w:p>
        </w:tc>
        <w:tc>
          <w:p>
            <w:r>
              <w:t xml:space="preserve">DOC-10</w:t>
            </w:r>
          </w:p>
        </w:tc>
      </w:tr>
      <w:tr>
        <w:tc>
          <w:p>
            <w:r>
              <w:rPr>
                <w:b/>
                <w:bCs/>
              </w:rPr>
              <w:t xml:space="preserve">Versión Oficial</w:t>
            </w:r>
          </w:p>
        </w:tc>
        <w:tc>
          <w:p>
            <w:r>
              <w:t xml:space="preserve">2026.1 (Release 8.2)</w:t>
            </w:r>
          </w:p>
        </w:tc>
      </w:tr>
      <w:tr>
        <w:tc>
          <w:p>
            <w:r>
              <w:rPr>
                <w:b/>
                <w:bCs/>
              </w:rPr>
              <w:t xml:space="preserve">Fecha de Emisión</w:t>
            </w:r>
          </w:p>
        </w:tc>
        <w:tc>
          <w:p>
            <w:r>
              <w:t xml:space="preserve">Octubre de 2026</w:t>
            </w:r>
          </w:p>
        </w:tc>
      </w:tr>
      <w:tr>
        <w:tc>
          <w:p>
            <w:r>
              <w:rPr>
                <w:b/>
                <w:bCs/>
              </w:rPr>
              <w:t xml:space="preserve">Proveedor / Titular</w:t>
            </w:r>
          </w:p>
        </w:tc>
        <w:tc>
          <w:p>
            <w:r>
              <w:t xml:space="preserve">JUAN EDUARDO MADRID REQUENA (Persona Natural con Registro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Identificación y NIT</w:t>
            </w:r>
          </w:p>
        </w:tc>
        <w:tc>
          <w:p>
            <w:r>
              <w:t xml:space="preserve">C.C. 1102849760 | NIT 1102849760-5 (Sujeto a verificación con RUT)</w:t>
            </w:r>
          </w:p>
        </w:tc>
      </w:tr>
      <w:tr>
        <w:tc>
          <w:p>
            <w:r>
              <w:rPr>
                <w:b/>
                <w:bCs/>
              </w:rPr>
              <w:t xml:space="preserve">Registro Mercantil</w:t>
            </w:r>
          </w:p>
        </w:tc>
        <w:tc>
          <w:p>
            <w:r>
              <w:t xml:space="preserve">Cámara de Comercio de Sincelejo — Matrícula 148131 (Activa 2026 - Sujeta a cotejo con certificado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Actividad Económica</w:t>
            </w:r>
          </w:p>
        </w:tc>
        <w:tc>
          <w:p>
            <w:r>
              <w:t xml:space="preserve">CIIU 6312 — Portales Web y Servicios de Procesamiento de Datos</w:t>
            </w:r>
          </w:p>
        </w:tc>
      </w:tr>
      <w:tr>
        <w:tc>
          <w:p>
            <w:r>
              <w:rPr>
                <w:b/>
                <w:bCs/>
              </w:rPr>
              <w:t xml:space="preserve">Domicilio Legal</w:t>
            </w:r>
          </w:p>
        </w:tc>
        <w:tc>
          <w:p>
            <w:r>
              <w:t xml:space="preserve">Sincelejo, Sucre, Colombia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Objetivos del Servicio de Soporte Técnico</w:t>
      </w:r>
    </w:p>
    <w:p>
      <w:r>
        <w:rPr>
          <w:color w:val="1E293B"/>
          <w:sz w:val="20"/>
          <w:szCs w:val="20"/>
        </w:rPr>
        <w:t xml:space="preserve">El presente manual establece las políticas, canales de atención, procedimientos de reporte y acuerdos operativos implementados por OdontoCloud Colombia para brindar asistencia técnica continua, mantenimiento correctivo y preventivo a consultorios e Instituciones Prestadoras de Servicios de Salud (IPS).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Canales Oficiales de Atención y Mesa de Ayuda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Canal de Soporte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Descripción Operativa y Alcance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Horario de Disponibilidad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Asistente Virtual IA en Plataforma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Módulo interactivo de ayuda integrado en la interfaz de OdontoCloud para resolución de dudas operativas inmediatas, navegación y flujos clínicos.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24 horas / 7 días a la semana (Automático)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Línea WhatsApp de Soporte Oficial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Atención directa con ingenieros de soporte para incidencias en consultorio, dudas de facturación DIAN, credenciales y validaciones operativas.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Lunes a Viernes: 07:00 a 19:00 COTSábados: 08:00 a 13:00 COT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Correo Electrónico Corporativo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Recepción formal de solicitudes, PQRS, reportes de incidencias complejas y constancias de soporte: bienvenido@odontocloudcolombia.com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Recepción 24/7 (Gestión en horario hábil)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Matriz de Clasificación de Incidentes y Tiempos de Respuesta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BEB" w:val="clear"/>
          </w:tcPr>
          <w:p>
            <w:r>
              <w:rPr>
                <w:color w:val="B45309"/>
                <w:sz w:val="19"/>
                <w:szCs w:val="19"/>
              </w:rPr>
              <w:t xml:space="preserve">⚠️ Nota Auditora: Tiempos SLA Propuestos para Concertación
Los tiempos de respuesta y solución indicados en la siguiente matriz corresponden a metas estándar de nivel de servicio (SLA) propuestas por OdontoCloud, las cuales se formalizan y pactan individualmente en el contrato de suscripción de cada prestador según su plan contratado.</w:t>
            </w:r>
          </w:p>
        </w:tc>
      </w:tr>
    </w:tbl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Severidad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y Criterio de Impacto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Tiempo de Respuesta Inicial (Meta)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Tiempo Objetivo de Solución / Mitigación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P1 — Crítico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Caída total de la plataforma o indisponibilidad del servicio para toda la clínica que impide completamente la atención de pacientes.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Menor a 1 hora hábil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Menor a 4 horas (Vía contingencia o restauración)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P2 — Alto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Falla severa en un módulo esencial (ej. imposibilidad de firmar evoluciones o emitir facturas electrónicas), existiendo workaround temporal.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Menor a 2 horas hábiles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Menor a 8 horas hábiles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P3 — Medio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Incidencia operativa no bloqueante (ej. lentitud transitoria en reportes, desajuste visual o inconsistencia en filtros de búsqueda).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Menor a 4 horas hábiles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Menor a 24 horas hábiles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P4 — Bajo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Consultas operativas, solicitudes de cambio de configuración, aclaraciones normativas o propuestas de nuevas funcionalidades.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Menor a 8 horas hábiles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Según cronograma de releases mensuales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Procedimiento de Reporte y Escalamiento Técnico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Registro de la Solicitud: El usuario de la clínica reporta el incidente a través de WhatsApp o correo electrónico, suministrando descripción del caso, usuario afectado y capturas de pantalla.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Nivel 1 (Triage y Soporte Operativo): Verificación de conectividad, permisos de usuario y guía inmediata al personal de la clínica.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Nivel 2 (Ingeniería de Software y Base de Datos): Diagnóstico de errores de aplicación, inconsistencias en esquemas o fallas de pasarelas fiscales/ministeriales.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Nivel 3 (Infraestructura y Seguridad): Intervención directa en contenedores Docker, servidor VPS o restauración de copias de seguridad ante fallas críticas de infraestructura.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5. Política de Ventanas de Mantenimiento y Parches</w:t>
      </w:r>
    </w:p>
    <w:p>
      <w:r>
        <w:rPr>
          <w:color w:val="1E293B"/>
          <w:sz w:val="20"/>
          <w:szCs w:val="20"/>
        </w:rPr>
        <w:t xml:space="preserve">Para no interrumpir la consulta odontológica diurna de las clínicas, todas las labores de mantenimiento preventivo, actualización de kernel o despliegues mayores se ejecutan dentro de la Ventana de Mantenimiento No Asistencial: de 10:00 PM a 05:00 AM (COT), con notificación previa por correo electrónico a las clínicas con un mínimo de cuarenta y ocho (48) horas de anticipación.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ELABORÓ (TÉCNICO / INGENIERÍA)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REVISÓ (AUDITORÍA / COMPLIANCE)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APROBÓ (DIRECCIÓN / LEGAL)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Equipo de Arquitectura e Ingeniería SaaS
OdontoCloud Colombia
Fecha: Octubre de 2026
Estado: Aprobado Técnico</w:t>
            </w:r>
          </w:p>
        </w:tc>
        <w:tc>
          <w:p>
            <w:r>
              <w:rPr>
                <w:sz w:val="16"/>
                <w:szCs w:val="16"/>
              </w:rPr>
              <w:t xml:space="preserve">[PENDIENTE DE DESIGNACIÓN: Ingeniero de Sistemas con Matrícula Profesional COPNIA]
PENDIENTE DE VALIDACIÓN MATRÍCULA COPNIA</w:t>
            </w:r>
          </w:p>
        </w:tc>
        <w:tc>
          <w:p>
            <w:r>
              <w:rPr>
                <w:sz w:val="16"/>
                <w:szCs w:val="16"/>
              </w:rPr>
              <w:t xml:space="preserve">JUAN EDUARDO MADRID REQUENA (Titular / Propietario)
C.C. 1102849760 | NIT 1102849760-5 (Sujeto a verificación con RUT)
PENDIENTE DE FIRMA PROTOCOLARIA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Institucional OdontoCloud © 2026 — En Revisión Previa a Firmas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8"/>
        <w:szCs w:val="18"/>
      </w:rPr>
      <w:t xml:space="preserve">OdontoCloud Colombia | DOC-10 — Versión 2026.1 (Release 8.2)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DOC-10 — Manual de Soporte, Mantenimiento y Gestión de Incidentes</dc:title>
  <dc:creator>OdontoCloud Colombia</dc:creator>
  <dc:description>Políticas de Asistencia Técnica, Canales de Atención, Clasificación de Severidades y Metas de SLA</dc:description>
  <cp:lastModifiedBy>Un-named</cp:lastModifiedBy>
  <cp:revision>1</cp:revision>
  <dcterms:created xsi:type="dcterms:W3CDTF">2026-10-14T19:48:28.888Z</dcterms:created>
  <dcterms:modified xsi:type="dcterms:W3CDTF">2026-10-14T19:48:28.888Z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