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omfortaa-bold.ttf" ContentType="application/x-font-ttf"/>
  <Override PartName="/word/fonts/Comforta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Arial" w:cs="Arial" w:eastAsia="Arial" w:hAnsi="Arial"/>
          <w:b w:val="1"/>
          <w:bCs w:val="1"/>
          <w:color w:val="1b365d"/>
          <w:sz w:val="32"/>
          <w:szCs w:val="32"/>
        </w:rPr>
      </w:pPr>
      <w:r w:rsidDel="00000000" w:rsidR="00000000" w:rsidRPr="00000000">
        <w:rPr>
          <w:rFonts w:ascii="Arial" w:cs="Arial" w:eastAsia="Arial" w:hAnsi="Arial"/>
          <w:b w:val="1"/>
          <w:bCs w:val="1"/>
          <w:color w:val="1b365d"/>
          <w:sz w:val="32"/>
          <w:szCs w:val="32"/>
          <w:rtl w:val="0"/>
        </w:rPr>
        <w:t xml:space="preserve">UNIVERSIDAD DEL CAUCA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Arial" w:cs="Arial" w:eastAsia="Arial" w:hAnsi="Arial"/>
          <w:b w:val="1"/>
          <w:bCs w:val="1"/>
          <w:color w:val="334155"/>
          <w:sz w:val="24"/>
          <w:szCs w:val="24"/>
        </w:rPr>
      </w:pPr>
      <w:r w:rsidDel="00000000" w:rsidR="00000000" w:rsidRPr="00000000">
        <w:rPr>
          <w:rFonts w:ascii="Arial" w:cs="Arial" w:eastAsia="Arial" w:hAnsi="Arial"/>
          <w:b w:val="1"/>
          <w:bCs w:val="1"/>
          <w:color w:val="334155"/>
          <w:sz w:val="24"/>
          <w:szCs w:val="24"/>
          <w:rtl w:val="0"/>
        </w:rPr>
        <w:t xml:space="preserve">Facultad de Ingeniería Electrónica y Telecomunicaciones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400" w:before="0" w:line="276" w:lineRule="auto"/>
        <w:ind w:left="0" w:right="0" w:firstLine="0"/>
        <w:jc w:val="center"/>
        <w:rPr>
          <w:rFonts w:ascii="Arial" w:cs="Arial" w:eastAsia="Arial" w:hAnsi="Arial"/>
          <w:b w:val="0"/>
          <w:bCs w:val="0"/>
          <w:color w:val="334155"/>
          <w:sz w:val="23"/>
          <w:szCs w:val="23"/>
        </w:rPr>
      </w:pPr>
      <w:r w:rsidDel="00000000" w:rsidR="00000000" w:rsidRPr="00000000">
        <w:rPr>
          <w:rFonts w:ascii="Arial" w:cs="Arial" w:eastAsia="Arial" w:hAnsi="Arial"/>
          <w:b w:val="0"/>
          <w:bCs w:val="0"/>
          <w:color w:val="334155"/>
          <w:sz w:val="23"/>
          <w:szCs w:val="23"/>
          <w:rtl w:val="0"/>
        </w:rPr>
        <w:t xml:space="preserve">Departamento de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Arial" w:cs="Arial" w:eastAsia="Arial" w:hAnsi="Arial"/>
          <w:b w:val="1"/>
          <w:bCs w:val="1"/>
          <w:color w:val="1e40af"/>
          <w:sz w:val="28"/>
          <w:szCs w:val="28"/>
        </w:rPr>
      </w:pPr>
      <w:r w:rsidDel="00000000" w:rsidR="00000000" w:rsidRPr="00000000">
        <w:rPr>
          <w:rFonts w:ascii="Arial" w:cs="Arial" w:eastAsia="Arial" w:hAnsi="Arial"/>
          <w:b w:val="1"/>
          <w:bCs w:val="1"/>
          <w:color w:val="1e40af"/>
          <w:sz w:val="28"/>
          <w:szCs w:val="28"/>
          <w:rtl w:val="0"/>
        </w:rPr>
        <w:t xml:space="preserve">PROYECTO II — INFORME TÉCNICO SPRINT 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400" w:before="0" w:line="276" w:lineRule="auto"/>
        <w:ind w:left="0" w:right="0" w:firstLine="0"/>
        <w:jc w:val="center"/>
        <w:rPr>
          <w:rFonts w:ascii="Arial" w:cs="Arial" w:eastAsia="Arial" w:hAnsi="Arial"/>
          <w:b w:val="1"/>
          <w:bCs w:val="1"/>
          <w:color w:val="1f2937"/>
          <w:sz w:val="23"/>
          <w:szCs w:val="23"/>
        </w:rPr>
      </w:pPr>
      <w:r w:rsidDel="00000000" w:rsidR="00000000" w:rsidRPr="00000000">
        <w:rPr>
          <w:rFonts w:ascii="Arial" w:cs="Arial" w:eastAsia="Arial" w:hAnsi="Arial"/>
          <w:b w:val="1"/>
          <w:bCs w:val="1"/>
          <w:color w:val="1f2937"/>
          <w:sz w:val="23"/>
          <w:szCs w:val="23"/>
          <w:rtl w:val="0"/>
        </w:rPr>
        <w:t xml:space="preserve">MesaLista: Sistema Cloud POS, KDS y Gestión Gastronómica Omnicanal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20" w:line="276" w:lineRule="auto"/>
        <w:ind w:left="0" w:right="0" w:firstLine="0"/>
        <w:jc w:val="center"/>
        <w:rPr>
          <w:rFonts w:ascii="Arial" w:cs="Arial" w:eastAsia="Arial" w:hAnsi="Arial"/>
          <w:b w:val="1"/>
          <w:bCs w:val="1"/>
          <w:color w:val="1b365d"/>
          <w:sz w:val="22"/>
          <w:szCs w:val="22"/>
        </w:rPr>
      </w:pPr>
      <w:r w:rsidDel="00000000" w:rsidR="00000000" w:rsidRPr="00000000">
        <w:rPr>
          <w:rFonts w:ascii="Arial" w:cs="Arial" w:eastAsia="Arial" w:hAnsi="Arial"/>
          <w:b w:val="1"/>
          <w:bCs w:val="1"/>
          <w:color w:val="1b365d"/>
          <w:sz w:val="22"/>
          <w:szCs w:val="22"/>
          <w:rtl w:val="0"/>
        </w:rPr>
        <w:t xml:space="preserve">INFORMACIÓN GENERAL DEL EQUIPO</w:t>
      </w:r>
    </w:p>
    <w:tbl>
      <w:tblPr>
        <w:tblStyle w:val="Table1"/>
        <w:tblW w:w="960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2680"/>
        <w:gridCol w:w="6920"/>
        <w:tblGridChange w:id="0">
          <w:tblGrid>
            <w:gridCol w:w="2680"/>
            <w:gridCol w:w="6920"/>
          </w:tblGrid>
        </w:tblGridChange>
      </w:tblGrid>
      <w:tr>
        <w:trPr>
          <w:cantSplit w:val="0"/>
          <w:tblHeader w:val="0"/>
        </w:trPr>
        <w:tc>
          <w:tcPr>
            <w:shd w:fill="1b365d" w:val="clear"/>
            <w:tcMar>
              <w:top w:w="120.0" w:type="dxa"/>
              <w:left w:w="160.0" w:type="dxa"/>
              <w:bottom w:w="120.0" w:type="dxa"/>
              <w:right w:w="160.0" w:type="dxa"/>
            </w:tcM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Parámetro Institucional</w:t>
            </w:r>
          </w:p>
        </w:tc>
        <w:tc>
          <w:tcPr>
            <w:shd w:fill="1b365d" w:val="clear"/>
            <w:tcMar>
              <w:top w:w="120.0" w:type="dxa"/>
              <w:left w:w="160.0" w:type="dxa"/>
              <w:bottom w:w="120.0" w:type="dxa"/>
              <w:right w:w="160.0" w:type="dxa"/>
            </w:tcM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Detalle del Proyecto y Equipo</w:t>
            </w:r>
          </w:p>
        </w:tc>
      </w:tr>
      <w:tr>
        <w:trPr>
          <w:cantSplit w:val="0"/>
          <w:tblHeader w:val="0"/>
        </w:trPr>
        <w:tc>
          <w:tcPr>
            <w:shd w:fill="f1f5f9" w:val="clear"/>
            <w:tcMar>
              <w:top w:w="120.0" w:type="dxa"/>
              <w:left w:w="160.0" w:type="dxa"/>
              <w:bottom w:w="120.0" w:type="dxa"/>
              <w:right w:w="16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b365d"/>
                <w:sz w:val="20"/>
                <w:szCs w:val="20"/>
              </w:rPr>
            </w:pPr>
            <w:r w:rsidDel="00000000" w:rsidR="00000000" w:rsidRPr="00000000">
              <w:rPr>
                <w:rFonts w:ascii="Arial" w:cs="Arial" w:eastAsia="Arial" w:hAnsi="Arial"/>
                <w:b w:val="1"/>
                <w:bCs w:val="1"/>
                <w:color w:val="1b365d"/>
                <w:sz w:val="20"/>
                <w:szCs w:val="20"/>
                <w:rtl w:val="0"/>
              </w:rPr>
              <w:t xml:space="preserve">Nombre del Proyecto</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20"/>
                <w:szCs w:val="20"/>
              </w:rPr>
            </w:pPr>
            <w:r w:rsidDel="00000000" w:rsidR="00000000" w:rsidRPr="00000000">
              <w:rPr>
                <w:rFonts w:ascii="Arial" w:cs="Arial" w:eastAsia="Arial" w:hAnsi="Arial"/>
                <w:b w:val="0"/>
                <w:bCs w:val="0"/>
                <w:color w:val="1f2937"/>
                <w:sz w:val="20"/>
                <w:szCs w:val="20"/>
                <w:rtl w:val="0"/>
              </w:rPr>
              <w:t xml:space="preserve">MesaLista </w:t>
            </w:r>
          </w:p>
        </w:tc>
      </w:tr>
      <w:tr>
        <w:trPr>
          <w:cantSplit w:val="0"/>
          <w:tblHeader w:val="0"/>
        </w:trPr>
        <w:tc>
          <w:tcPr>
            <w:shd w:fill="f1f5f9" w:val="clear"/>
            <w:tcMar>
              <w:top w:w="120.0" w:type="dxa"/>
              <w:left w:w="160.0" w:type="dxa"/>
              <w:bottom w:w="120.0" w:type="dxa"/>
              <w:right w:w="16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b365d"/>
                <w:sz w:val="20"/>
                <w:szCs w:val="20"/>
              </w:rPr>
            </w:pPr>
            <w:r w:rsidDel="00000000" w:rsidR="00000000" w:rsidRPr="00000000">
              <w:rPr>
                <w:rFonts w:ascii="Arial" w:cs="Arial" w:eastAsia="Arial" w:hAnsi="Arial"/>
                <w:b w:val="1"/>
                <w:bCs w:val="1"/>
                <w:color w:val="1b365d"/>
                <w:sz w:val="20"/>
                <w:szCs w:val="20"/>
                <w:rtl w:val="0"/>
              </w:rPr>
              <w:t xml:space="preserve">Nombre del Equipo</w:t>
            </w:r>
          </w:p>
        </w:tc>
        <w:tc>
          <w:tcPr>
            <w:shd w:fill="f8fafc" w:val="clear"/>
            <w:tcMar>
              <w:top w:w="120.0" w:type="dxa"/>
              <w:left w:w="160.0" w:type="dxa"/>
              <w:bottom w:w="120.0" w:type="dxa"/>
              <w:right w:w="16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20"/>
                <w:szCs w:val="20"/>
              </w:rPr>
            </w:pPr>
            <w:r w:rsidDel="00000000" w:rsidR="00000000" w:rsidRPr="00000000">
              <w:rPr>
                <w:rFonts w:ascii="Arial" w:cs="Arial" w:eastAsia="Arial" w:hAnsi="Arial"/>
                <w:b w:val="0"/>
                <w:bCs w:val="0"/>
                <w:color w:val="1f2937"/>
                <w:sz w:val="20"/>
                <w:szCs w:val="20"/>
                <w:rtl w:val="0"/>
              </w:rPr>
              <w:t xml:space="preserve">Trinity</w:t>
            </w:r>
          </w:p>
        </w:tc>
      </w:tr>
      <w:tr>
        <w:trPr>
          <w:cantSplit w:val="0"/>
          <w:tblHeader w:val="0"/>
        </w:trPr>
        <w:tc>
          <w:tcPr>
            <w:shd w:fill="f1f5f9" w:val="clear"/>
            <w:tcMar>
              <w:top w:w="120.0" w:type="dxa"/>
              <w:left w:w="160.0" w:type="dxa"/>
              <w:bottom w:w="120.0" w:type="dxa"/>
              <w:right w:w="16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b365d"/>
                <w:sz w:val="20"/>
                <w:szCs w:val="20"/>
              </w:rPr>
            </w:pPr>
            <w:r w:rsidDel="00000000" w:rsidR="00000000" w:rsidRPr="00000000">
              <w:rPr>
                <w:rFonts w:ascii="Arial" w:cs="Arial" w:eastAsia="Arial" w:hAnsi="Arial"/>
                <w:b w:val="1"/>
                <w:bCs w:val="1"/>
                <w:color w:val="1b365d"/>
                <w:sz w:val="20"/>
                <w:szCs w:val="20"/>
                <w:rtl w:val="0"/>
              </w:rPr>
              <w:t xml:space="preserve">Número de Grupo</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20"/>
                <w:szCs w:val="20"/>
              </w:rPr>
            </w:pPr>
            <w:r w:rsidDel="00000000" w:rsidR="00000000" w:rsidRPr="00000000">
              <w:rPr>
                <w:color w:val="1f2937"/>
                <w:sz w:val="20"/>
                <w:szCs w:val="20"/>
                <w:rtl w:val="0"/>
              </w:rPr>
              <w:t xml:space="preserve">Proyecto 2</w:t>
            </w:r>
            <w:r w:rsidDel="00000000" w:rsidR="00000000" w:rsidRPr="00000000">
              <w:rPr>
                <w:rtl w:val="0"/>
              </w:rPr>
            </w:r>
          </w:p>
        </w:tc>
      </w:tr>
      <w:tr>
        <w:trPr>
          <w:cantSplit w:val="0"/>
          <w:tblHeader w:val="0"/>
        </w:trPr>
        <w:tc>
          <w:tcPr>
            <w:shd w:fill="f1f5f9" w:val="clear"/>
            <w:tcMar>
              <w:top w:w="120.0" w:type="dxa"/>
              <w:left w:w="160.0" w:type="dxa"/>
              <w:bottom w:w="120.0" w:type="dxa"/>
              <w:right w:w="16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b365d"/>
                <w:sz w:val="20"/>
                <w:szCs w:val="20"/>
              </w:rPr>
            </w:pPr>
            <w:r w:rsidDel="00000000" w:rsidR="00000000" w:rsidRPr="00000000">
              <w:rPr>
                <w:rFonts w:ascii="Arial" w:cs="Arial" w:eastAsia="Arial" w:hAnsi="Arial"/>
                <w:b w:val="1"/>
                <w:bCs w:val="1"/>
                <w:color w:val="1b365d"/>
                <w:sz w:val="20"/>
                <w:szCs w:val="20"/>
                <w:rtl w:val="0"/>
              </w:rPr>
              <w:t xml:space="preserve">Integrantes</w:t>
            </w:r>
          </w:p>
        </w:tc>
        <w:tc>
          <w:tcPr>
            <w:shd w:fill="f8fafc" w:val="clear"/>
            <w:tcMar>
              <w:top w:w="120.0" w:type="dxa"/>
              <w:left w:w="160.0" w:type="dxa"/>
              <w:bottom w:w="120.0" w:type="dxa"/>
              <w:right w:w="16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20"/>
                <w:szCs w:val="20"/>
              </w:rPr>
            </w:pPr>
            <w:r w:rsidDel="00000000" w:rsidR="00000000" w:rsidRPr="00000000">
              <w:rPr>
                <w:rFonts w:ascii="Arial" w:cs="Arial" w:eastAsia="Arial" w:hAnsi="Arial"/>
                <w:b w:val="0"/>
                <w:bCs w:val="0"/>
                <w:color w:val="1f2937"/>
                <w:sz w:val="20"/>
                <w:szCs w:val="20"/>
                <w:rtl w:val="0"/>
              </w:rPr>
              <w:t xml:space="preserve">1. Juan Esteban Martínez</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color w:val="1f2937"/>
                <w:sz w:val="20"/>
                <w:szCs w:val="20"/>
              </w:rPr>
            </w:pPr>
            <w:r w:rsidDel="00000000" w:rsidR="00000000" w:rsidRPr="00000000">
              <w:rPr>
                <w:rFonts w:ascii="Arial" w:cs="Arial" w:eastAsia="Arial" w:hAnsi="Arial"/>
                <w:b w:val="0"/>
                <w:bCs w:val="0"/>
                <w:color w:val="1f2937"/>
                <w:sz w:val="20"/>
                <w:szCs w:val="20"/>
                <w:rtl w:val="0"/>
              </w:rPr>
              <w:t xml:space="preserve">2. Daniel Muñoz Piedrahita</w:t>
            </w:r>
          </w:p>
        </w:tc>
      </w:tr>
      <w:tr>
        <w:trPr>
          <w:cantSplit w:val="0"/>
          <w:tblHeader w:val="0"/>
        </w:trPr>
        <w:tc>
          <w:tcPr>
            <w:shd w:fill="f1f5f9" w:val="clear"/>
            <w:tcMar>
              <w:top w:w="120.0" w:type="dxa"/>
              <w:left w:w="160.0" w:type="dxa"/>
              <w:bottom w:w="120.0" w:type="dxa"/>
              <w:right w:w="16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b365d"/>
                <w:sz w:val="20"/>
                <w:szCs w:val="20"/>
              </w:rPr>
            </w:pPr>
            <w:r w:rsidDel="00000000" w:rsidR="00000000" w:rsidRPr="00000000">
              <w:rPr>
                <w:rFonts w:ascii="Arial" w:cs="Arial" w:eastAsia="Arial" w:hAnsi="Arial"/>
                <w:b w:val="1"/>
                <w:bCs w:val="1"/>
                <w:color w:val="1b365d"/>
                <w:sz w:val="20"/>
                <w:szCs w:val="20"/>
                <w:rtl w:val="0"/>
              </w:rPr>
              <w:t xml:space="preserve">Docente Director</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20"/>
                <w:szCs w:val="20"/>
              </w:rPr>
            </w:pPr>
            <w:r w:rsidDel="00000000" w:rsidR="00000000" w:rsidRPr="00000000">
              <w:rPr>
                <w:rFonts w:ascii="Arial" w:cs="Arial" w:eastAsia="Arial" w:hAnsi="Arial"/>
                <w:b w:val="0"/>
                <w:bCs w:val="0"/>
                <w:color w:val="1f2937"/>
                <w:sz w:val="20"/>
                <w:szCs w:val="20"/>
                <w:rtl w:val="0"/>
              </w:rPr>
              <w:t xml:space="preserve">Ph.D. MSc. </w:t>
            </w:r>
            <w:r w:rsidDel="00000000" w:rsidR="00000000" w:rsidRPr="00000000">
              <w:rPr>
                <w:color w:val="1f2937"/>
                <w:sz w:val="20"/>
                <w:szCs w:val="20"/>
                <w:rtl w:val="0"/>
              </w:rPr>
              <w:t xml:space="preserve">Siler Amador</w:t>
            </w:r>
            <w:r w:rsidDel="00000000" w:rsidR="00000000" w:rsidRPr="00000000">
              <w:rPr>
                <w:rtl w:val="0"/>
              </w:rPr>
            </w:r>
          </w:p>
        </w:tc>
      </w:tr>
      <w:tr>
        <w:trPr>
          <w:cantSplit w:val="0"/>
          <w:tblHeader w:val="0"/>
        </w:trPr>
        <w:tc>
          <w:tcPr>
            <w:shd w:fill="f1f5f9" w:val="clear"/>
            <w:tcMar>
              <w:top w:w="120.0" w:type="dxa"/>
              <w:left w:w="160.0" w:type="dxa"/>
              <w:bottom w:w="120.0" w:type="dxa"/>
              <w:right w:w="16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b365d"/>
                <w:sz w:val="20"/>
                <w:szCs w:val="20"/>
              </w:rPr>
            </w:pPr>
            <w:r w:rsidDel="00000000" w:rsidR="00000000" w:rsidRPr="00000000">
              <w:rPr>
                <w:rFonts w:ascii="Arial" w:cs="Arial" w:eastAsia="Arial" w:hAnsi="Arial"/>
                <w:b w:val="1"/>
                <w:bCs w:val="1"/>
                <w:color w:val="1b365d"/>
                <w:sz w:val="20"/>
                <w:szCs w:val="20"/>
                <w:rtl w:val="0"/>
              </w:rPr>
              <w:t xml:space="preserve">Período Académico</w:t>
            </w:r>
          </w:p>
        </w:tc>
        <w:tc>
          <w:tcPr>
            <w:shd w:fill="f8fafc" w:val="clear"/>
            <w:tcMar>
              <w:top w:w="120.0" w:type="dxa"/>
              <w:left w:w="160.0" w:type="dxa"/>
              <w:bottom w:w="120.0" w:type="dxa"/>
              <w:right w:w="16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20"/>
                <w:szCs w:val="20"/>
              </w:rPr>
            </w:pPr>
            <w:r w:rsidDel="00000000" w:rsidR="00000000" w:rsidRPr="00000000">
              <w:rPr>
                <w:rFonts w:ascii="Arial" w:cs="Arial" w:eastAsia="Arial" w:hAnsi="Arial"/>
                <w:b w:val="0"/>
                <w:bCs w:val="0"/>
                <w:color w:val="1f2937"/>
                <w:sz w:val="20"/>
                <w:szCs w:val="20"/>
                <w:rtl w:val="0"/>
              </w:rPr>
              <w:t xml:space="preserve">Sprint 1 – Segundo Semestre de 2026</w:t>
            </w:r>
          </w:p>
        </w:tc>
      </w:tr>
      <w:tr>
        <w:trPr>
          <w:cantSplit w:val="0"/>
          <w:tblHeader w:val="0"/>
        </w:trPr>
        <w:tc>
          <w:tcPr>
            <w:shd w:fill="f1f5f9" w:val="clear"/>
            <w:tcMar>
              <w:top w:w="120.0" w:type="dxa"/>
              <w:left w:w="160.0" w:type="dxa"/>
              <w:bottom w:w="120.0" w:type="dxa"/>
              <w:right w:w="16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b365d"/>
                <w:sz w:val="20"/>
                <w:szCs w:val="20"/>
              </w:rPr>
            </w:pPr>
            <w:r w:rsidDel="00000000" w:rsidR="00000000" w:rsidRPr="00000000">
              <w:rPr>
                <w:rFonts w:ascii="Arial" w:cs="Arial" w:eastAsia="Arial" w:hAnsi="Arial"/>
                <w:b w:val="1"/>
                <w:bCs w:val="1"/>
                <w:color w:val="1b365d"/>
                <w:sz w:val="20"/>
                <w:szCs w:val="20"/>
                <w:rtl w:val="0"/>
              </w:rPr>
              <w:t xml:space="preserve">Fecha de Entrega</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20"/>
                <w:szCs w:val="20"/>
              </w:rPr>
            </w:pPr>
            <w:r w:rsidDel="00000000" w:rsidR="00000000" w:rsidRPr="00000000">
              <w:rPr>
                <w:rFonts w:ascii="Arial" w:cs="Arial" w:eastAsia="Arial" w:hAnsi="Arial"/>
                <w:b w:val="0"/>
                <w:bCs w:val="0"/>
                <w:color w:val="1f2937"/>
                <w:sz w:val="20"/>
                <w:szCs w:val="20"/>
                <w:rtl w:val="0"/>
              </w:rPr>
              <w:t xml:space="preserve">Octubre de 2026</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b365d"/>
          <w:sz w:val="22"/>
          <w:szCs w:val="22"/>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rial" w:cs="Arial" w:eastAsia="Arial" w:hAnsi="Arial"/>
          <w:b w:val="1"/>
          <w:bCs w:val="1"/>
          <w:color w:val="1b365d"/>
          <w:sz w:val="12"/>
          <w:szCs w:val="12"/>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480" w:line="276" w:lineRule="auto"/>
        <w:ind w:left="0" w:right="0" w:firstLine="0"/>
        <w:jc w:val="center"/>
        <w:rPr>
          <w:rFonts w:ascii="Arial" w:cs="Arial" w:eastAsia="Arial" w:hAnsi="Arial"/>
          <w:b w:val="0"/>
          <w:bCs w:val="0"/>
          <w:color w:val="334155"/>
          <w:sz w:val="21"/>
          <w:szCs w:val="21"/>
        </w:rPr>
      </w:pPr>
      <w:r w:rsidDel="00000000" w:rsidR="00000000" w:rsidRPr="00000000">
        <w:rPr>
          <w:rFonts w:ascii="Arial" w:cs="Arial" w:eastAsia="Arial" w:hAnsi="Arial"/>
          <w:b w:val="0"/>
          <w:bCs w:val="0"/>
          <w:color w:val="334155"/>
          <w:sz w:val="21"/>
          <w:szCs w:val="21"/>
          <w:rtl w:val="0"/>
        </w:rPr>
        <w:t xml:space="preserve">Popayán, Cauca, Colombia — 2026</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color w:val="334155"/>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after="160" w:before="360" w:lineRule="auto"/>
        <w:rPr>
          <w:rFonts w:ascii="Arial" w:cs="Arial" w:eastAsia="Arial" w:hAnsi="Arial"/>
          <w:b w:val="1"/>
          <w:bCs w:val="1"/>
          <w:color w:val="1b365d"/>
          <w:sz w:val="28"/>
          <w:szCs w:val="28"/>
        </w:rPr>
      </w:pPr>
      <w:bookmarkStart w:colFirst="0" w:colLast="0" w:name="_wdl3upei4m1f" w:id="0"/>
      <w:bookmarkEnd w:id="0"/>
      <w:r w:rsidDel="00000000" w:rsidR="00000000" w:rsidRPr="00000000">
        <w:rPr>
          <w:rFonts w:ascii="Arial" w:cs="Arial" w:eastAsia="Arial" w:hAnsi="Arial"/>
          <w:b w:val="1"/>
          <w:bCs w:val="1"/>
          <w:color w:val="1b365d"/>
          <w:sz w:val="28"/>
          <w:szCs w:val="28"/>
          <w:rtl w:val="0"/>
        </w:rPr>
        <w:t xml:space="preserve">1. Cumplimiento (5% según Rúbrica)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w:cs="Arial" w:eastAsia="Arial" w:hAnsi="Arial"/>
          <w:b w:val="0"/>
          <w:bCs w:val="0"/>
          <w:color w:val="1f2937"/>
          <w:sz w:val="21"/>
          <w:szCs w:val="21"/>
        </w:rPr>
      </w:pPr>
      <w:r w:rsidDel="00000000" w:rsidR="00000000" w:rsidRPr="00000000">
        <w:rPr>
          <w:rFonts w:ascii="Arial" w:cs="Arial" w:eastAsia="Arial" w:hAnsi="Arial"/>
          <w:b w:val="0"/>
          <w:bCs w:val="0"/>
          <w:color w:val="1f2937"/>
          <w:sz w:val="21"/>
          <w:szCs w:val="21"/>
          <w:rtl w:val="0"/>
        </w:rPr>
        <w:t xml:space="preserve">El presente informe técnico consolida los entregables de arquitectura, aseguramiento de calidad (QA), seguridad ofensiva/defensiva y desarrollo funcional correspondientes al Sprint 1 del proyecto MesaLista, radicado en la plataforma institucional dentro del calendario establecido.</w:t>
      </w:r>
    </w:p>
    <w:p w:rsidR="00000000" w:rsidDel="00000000" w:rsidP="00000000" w:rsidRDefault="00000000" w:rsidRPr="00000000" w14:paraId="0000001E">
      <w:pPr>
        <w:pStyle w:val="Heading3"/>
        <w:spacing w:after="80" w:before="200" w:lineRule="auto"/>
        <w:rPr>
          <w:rFonts w:ascii="Arial" w:cs="Arial" w:eastAsia="Arial" w:hAnsi="Arial"/>
          <w:b w:val="1"/>
          <w:bCs w:val="1"/>
          <w:color w:val="334155"/>
          <w:sz w:val="21"/>
          <w:szCs w:val="21"/>
        </w:rPr>
      </w:pPr>
      <w:bookmarkStart w:colFirst="0" w:colLast="0" w:name="_2c4ncy126dcn" w:id="1"/>
      <w:bookmarkEnd w:id="1"/>
      <w:r w:rsidDel="00000000" w:rsidR="00000000" w:rsidRPr="00000000">
        <w:rPr>
          <w:rFonts w:ascii="Arial" w:cs="Arial" w:eastAsia="Arial" w:hAnsi="Arial"/>
          <w:b w:val="1"/>
          <w:bCs w:val="1"/>
          <w:color w:val="334155"/>
          <w:sz w:val="21"/>
          <w:szCs w:val="21"/>
          <w:rtl w:val="0"/>
        </w:rPr>
        <w:t xml:space="preserve">Verificación de Cumplimiento de Entrega: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Entrega formal realizada dentro del plazo estipulado por Classroom.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Nomenclatura de archivo estandarizada conforme a la guía: MesaLista_Sprint1_GrupoTrinity.docx.</w:t>
      </w:r>
    </w:p>
    <w:p w:rsidR="00000000" w:rsidDel="00000000" w:rsidP="00000000" w:rsidRDefault="00000000" w:rsidRPr="00000000" w14:paraId="00000021">
      <w:pPr>
        <w:pStyle w:val="Heading1"/>
        <w:spacing w:after="160" w:before="360" w:lineRule="auto"/>
        <w:rPr>
          <w:rFonts w:ascii="Arial" w:cs="Arial" w:eastAsia="Arial" w:hAnsi="Arial"/>
          <w:b w:val="1"/>
          <w:bCs w:val="1"/>
          <w:color w:val="1b365d"/>
          <w:sz w:val="28"/>
          <w:szCs w:val="28"/>
        </w:rPr>
      </w:pPr>
      <w:bookmarkStart w:colFirst="0" w:colLast="0" w:name="_nfmvec416vs5" w:id="2"/>
      <w:bookmarkEnd w:id="2"/>
      <w:r w:rsidDel="00000000" w:rsidR="00000000" w:rsidRPr="00000000">
        <w:rPr>
          <w:rFonts w:ascii="Arial" w:cs="Arial" w:eastAsia="Arial" w:hAnsi="Arial"/>
          <w:b w:val="1"/>
          <w:bCs w:val="1"/>
          <w:color w:val="1b365d"/>
          <w:sz w:val="28"/>
          <w:szCs w:val="28"/>
          <w:rtl w:val="0"/>
        </w:rPr>
        <w:t xml:space="preserve">2. Presentación y Demostración Funcional (10% según Rúbrica)</w:t>
      </w:r>
    </w:p>
    <w:p w:rsidR="00000000" w:rsidDel="00000000" w:rsidP="00000000" w:rsidRDefault="00000000" w:rsidRPr="00000000" w14:paraId="00000022">
      <w:pPr>
        <w:pStyle w:val="Heading2"/>
        <w:spacing w:after="120" w:before="280" w:lineRule="auto"/>
        <w:rPr>
          <w:rFonts w:ascii="Arial" w:cs="Arial" w:eastAsia="Arial" w:hAnsi="Arial"/>
          <w:b w:val="1"/>
          <w:bCs w:val="1"/>
          <w:color w:val="1e40af"/>
          <w:sz w:val="23"/>
          <w:szCs w:val="23"/>
        </w:rPr>
      </w:pPr>
      <w:bookmarkStart w:colFirst="0" w:colLast="0" w:name="_i6q944km9c4c" w:id="3"/>
      <w:bookmarkEnd w:id="3"/>
      <w:r w:rsidDel="00000000" w:rsidR="00000000" w:rsidRPr="00000000">
        <w:rPr>
          <w:rFonts w:ascii="Arial" w:cs="Arial" w:eastAsia="Arial" w:hAnsi="Arial"/>
          <w:b w:val="1"/>
          <w:bCs w:val="1"/>
          <w:color w:val="1e40af"/>
          <w:sz w:val="23"/>
          <w:szCs w:val="23"/>
          <w:rtl w:val="0"/>
        </w:rPr>
        <w:t xml:space="preserve">2.1. Marco de Referencia y Planteamiento del Problema Resuelto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w:cs="Arial" w:eastAsia="Arial" w:hAnsi="Arial"/>
          <w:b w:val="0"/>
          <w:bCs w:val="0"/>
          <w:color w:val="1f2937"/>
          <w:sz w:val="21"/>
          <w:szCs w:val="21"/>
        </w:rPr>
      </w:pPr>
      <w:r w:rsidDel="00000000" w:rsidR="00000000" w:rsidRPr="00000000">
        <w:rPr>
          <w:rFonts w:ascii="Arial" w:cs="Arial" w:eastAsia="Arial" w:hAnsi="Arial"/>
          <w:b w:val="0"/>
          <w:bCs w:val="0"/>
          <w:color w:val="1f2937"/>
          <w:sz w:val="21"/>
          <w:szCs w:val="21"/>
          <w:rtl w:val="0"/>
        </w:rPr>
        <w:t xml:space="preserve">El sistema MesaLista responde a la necesidad de transformación digital y control operacional del restaurante nocturno Luigie's en la ciudad de Popayán, Cauca. En los establecimientos gastronómicos de alta rotación nocturna, los esquemas tradicionales basados en comandas físicas de papel y hojas de cálculo aisladas producen cuellos de botella críticos en horas pico: demoras en la preparación de alimentos, pérdida de órdenes entre el salón y la cocina, falta de trazabilidad en pedidos a domicilio y descuadres recurrentes durante el arqueo de caja al cierre de cada jornada.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w:cs="Arial" w:eastAsia="Arial" w:hAnsi="Arial"/>
          <w:b w:val="0"/>
          <w:bCs w:val="0"/>
          <w:color w:val="1f2937"/>
          <w:sz w:val="21"/>
          <w:szCs w:val="21"/>
        </w:rPr>
      </w:pPr>
      <w:r w:rsidDel="00000000" w:rsidR="00000000" w:rsidRPr="00000000">
        <w:rPr>
          <w:rFonts w:ascii="Arial" w:cs="Arial" w:eastAsia="Arial" w:hAnsi="Arial"/>
          <w:b w:val="0"/>
          <w:bCs w:val="0"/>
          <w:color w:val="1f2937"/>
          <w:sz w:val="21"/>
          <w:szCs w:val="21"/>
          <w:rtl w:val="0"/>
        </w:rPr>
        <w:t xml:space="preserve">Atendiendo a la retroalimentación técnica y metodológica brindada por el docente de la asignatura tras la Entrega 1, el equipo descartó la propuesta preliminar restringida a red de área local (Local-First) y ejecutó una transición estratégica hacia una arquitectura 100% Cloud-Native. Este cambio permite unificar los canales presenciales y remotos: los comensales externos consultan la oferta gastronómica y radican domicilios en línea desde cualquier dispositivo con acceso a internet, mientras el personal operativo gestiona mesas, comandas digitales en cocina (KDS) y finanzas en tiempo real sin requerir servidores físicos en el local.</w:t>
      </w:r>
    </w:p>
    <w:p w:rsidR="00000000" w:rsidDel="00000000" w:rsidP="00000000" w:rsidRDefault="00000000" w:rsidRPr="00000000" w14:paraId="00000025">
      <w:pPr>
        <w:pStyle w:val="Heading2"/>
        <w:spacing w:after="120" w:before="280" w:lineRule="auto"/>
        <w:rPr>
          <w:rFonts w:ascii="Arial" w:cs="Arial" w:eastAsia="Arial" w:hAnsi="Arial"/>
          <w:b w:val="1"/>
          <w:bCs w:val="1"/>
          <w:color w:val="1e40af"/>
          <w:sz w:val="23"/>
          <w:szCs w:val="23"/>
        </w:rPr>
      </w:pPr>
      <w:bookmarkStart w:colFirst="0" w:colLast="0" w:name="_ywy8scdkgjkr" w:id="4"/>
      <w:bookmarkEnd w:id="4"/>
      <w:r w:rsidDel="00000000" w:rsidR="00000000" w:rsidRPr="00000000">
        <w:rPr>
          <w:rFonts w:ascii="Arial" w:cs="Arial" w:eastAsia="Arial" w:hAnsi="Arial"/>
          <w:b w:val="1"/>
          <w:bCs w:val="1"/>
          <w:color w:val="1e40af"/>
          <w:sz w:val="23"/>
          <w:szCs w:val="23"/>
          <w:rtl w:val="0"/>
        </w:rPr>
        <w:t xml:space="preserve">2.2. Justificación Técnica de la Selección Tecnológica en la Nube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w:cs="Arial" w:eastAsia="Arial" w:hAnsi="Arial"/>
          <w:b w:val="0"/>
          <w:bCs w:val="0"/>
          <w:color w:val="1f2937"/>
          <w:sz w:val="21"/>
          <w:szCs w:val="21"/>
        </w:rPr>
      </w:pPr>
      <w:r w:rsidDel="00000000" w:rsidR="00000000" w:rsidRPr="00000000">
        <w:rPr>
          <w:rFonts w:ascii="Arial" w:cs="Arial" w:eastAsia="Arial" w:hAnsi="Arial"/>
          <w:b w:val="0"/>
          <w:bCs w:val="0"/>
          <w:color w:val="1f2937"/>
          <w:sz w:val="21"/>
          <w:szCs w:val="21"/>
          <w:rtl w:val="0"/>
        </w:rPr>
        <w:t xml:space="preserve">El ecosistema tecnológico se seleccionó priorizando los atributos de calidad definidos en el estándar internacional ISO/IEC 25010 [1] —eficiencia de desempeño, mantenibilidad, disponibilidad y seguridad—, operando sobre infraestructuras en la nube bajo esquemas Free Tier sostenibles:</w:t>
      </w:r>
    </w:p>
    <w:p w:rsidR="00000000" w:rsidDel="00000000" w:rsidP="00000000" w:rsidRDefault="00000000" w:rsidRPr="00000000" w14:paraId="000000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Fonts w:ascii="Arial" w:cs="Arial" w:eastAsia="Arial" w:hAnsi="Arial"/>
          <w:b w:val="1"/>
          <w:bCs w:val="1"/>
          <w:color w:val="1f2937"/>
          <w:sz w:val="21"/>
          <w:szCs w:val="21"/>
          <w:rtl w:val="0"/>
        </w:rPr>
        <w:t xml:space="preserve">Frontend SPA (Vercel Edge CDN): </w:t>
      </w:r>
      <w:r w:rsidDel="00000000" w:rsidR="00000000" w:rsidRPr="00000000">
        <w:rPr>
          <w:rFonts w:ascii="Arial" w:cs="Arial" w:eastAsia="Arial" w:hAnsi="Arial"/>
          <w:b w:val="0"/>
          <w:bCs w:val="0"/>
          <w:color w:val="1f2937"/>
          <w:sz w:val="21"/>
          <w:szCs w:val="21"/>
          <w:rtl w:val="0"/>
        </w:rPr>
        <w:t xml:space="preserve">Construido sobre Angular 22 adoptando Standalone Components para eliminar la sobrecarga de módulos tradicionales [2]. Se integraron Angular Signals y operadores reactivos de RxJS, logrando que el mapa de mesas, el visor de cocina (KDS) y el carrito de compras se sincronicen de manera instantánea sin recargar vistas [2]. Su despliegue en la red perimetral de Vercel garantiza compresión Brotli/Gzip, latencia mínima y certificados TLS/HTTPS automáticos.</w:t>
      </w:r>
    </w:p>
    <w:p w:rsidR="00000000" w:rsidDel="00000000" w:rsidP="00000000" w:rsidRDefault="00000000" w:rsidRPr="00000000" w14:paraId="000000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Fonts w:ascii="Arial" w:cs="Arial" w:eastAsia="Arial" w:hAnsi="Arial"/>
          <w:b w:val="1"/>
          <w:bCs w:val="1"/>
          <w:color w:val="1f2937"/>
          <w:sz w:val="21"/>
          <w:szCs w:val="21"/>
          <w:rtl w:val="0"/>
        </w:rPr>
        <w:t xml:space="preserve">Backend API RESTful (Render Web Services): </w:t>
      </w:r>
      <w:r w:rsidDel="00000000" w:rsidR="00000000" w:rsidRPr="00000000">
        <w:rPr>
          <w:rFonts w:ascii="Arial" w:cs="Arial" w:eastAsia="Arial" w:hAnsi="Arial"/>
          <w:b w:val="0"/>
          <w:bCs w:val="0"/>
          <w:color w:val="1f2937"/>
          <w:sz w:val="21"/>
          <w:szCs w:val="21"/>
          <w:rtl w:val="0"/>
        </w:rPr>
        <w:t xml:space="preserve">Desarrollado con NestJS 12 sobre Node.js LTS (v22/v24), aplicando el patrón modular en tres capas (Controller – Service – Data Access) con tipado estricto en TypeScript [3]. La validación de contratos de entrada se gestiona de forma centralizada mediante class-validator y tuberías globales (ValidationPipe) [3]. Se aloja en Render.com con compilación y despliegue continuo automatizado ante cada integración en la rama develop.</w:t>
      </w:r>
    </w:p>
    <w:p w:rsidR="00000000" w:rsidDel="00000000" w:rsidP="00000000" w:rsidRDefault="00000000" w:rsidRPr="00000000" w14:paraId="000000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Fonts w:ascii="Arial" w:cs="Arial" w:eastAsia="Arial" w:hAnsi="Arial"/>
          <w:b w:val="1"/>
          <w:bCs w:val="1"/>
          <w:color w:val="1f2937"/>
          <w:sz w:val="21"/>
          <w:szCs w:val="21"/>
          <w:rtl w:val="0"/>
        </w:rPr>
        <w:t xml:space="preserve">Capa de Persistencia Serverless (Neon.tech): </w:t>
      </w:r>
      <w:r w:rsidDel="00000000" w:rsidR="00000000" w:rsidRPr="00000000">
        <w:rPr>
          <w:rFonts w:ascii="Arial" w:cs="Arial" w:eastAsia="Arial" w:hAnsi="Arial"/>
          <w:b w:val="0"/>
          <w:bCs w:val="0"/>
          <w:color w:val="1f2937"/>
          <w:sz w:val="21"/>
          <w:szCs w:val="21"/>
          <w:rtl w:val="0"/>
        </w:rPr>
        <w:t xml:space="preserve">Motor relacional PostgreSQL 16/17 alojado en Neon con agrupamiento de conexiones (Connection Pooling) y cifrado obligatorio en tránsito (sslmode=require) [4]. La interacción se abstrae mediante Prisma ORM, garantizando tipado seguro de extremo a extremo, prevención de inyecciones SQL mediante consultas parametrizadas y consistencia atómica bancaria a través de transacciones explícitas prisma.$transaction [5].</w:t>
      </w:r>
    </w:p>
    <w:p w:rsidR="00000000" w:rsidDel="00000000" w:rsidP="00000000" w:rsidRDefault="00000000" w:rsidRPr="00000000" w14:paraId="0000002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pPr>
      <w:r w:rsidDel="00000000" w:rsidR="00000000" w:rsidRPr="00000000">
        <w:rPr>
          <w:rFonts w:ascii="Arial" w:cs="Arial" w:eastAsia="Arial" w:hAnsi="Arial"/>
          <w:b w:val="1"/>
          <w:bCs w:val="1"/>
          <w:color w:val="1f2937"/>
          <w:sz w:val="21"/>
          <w:szCs w:val="21"/>
          <w:rtl w:val="0"/>
        </w:rPr>
        <w:t xml:space="preserve">Identidad, Autenticación y Seguridad Perimetral: </w:t>
      </w:r>
      <w:r w:rsidDel="00000000" w:rsidR="00000000" w:rsidRPr="00000000">
        <w:rPr>
          <w:rFonts w:ascii="Arial" w:cs="Arial" w:eastAsia="Arial" w:hAnsi="Arial"/>
          <w:b w:val="0"/>
          <w:bCs w:val="0"/>
          <w:color w:val="1f2937"/>
          <w:sz w:val="21"/>
          <w:szCs w:val="21"/>
          <w:rtl w:val="0"/>
        </w:rPr>
        <w:t xml:space="preserve">Mecanismo híbrido de autenticación: comensales externos mediante Google OAuth 2.0 (Google Identity Services) con verificación asimétrica de firmas RSA mediante google-auth-library, y personal operativo interno mediante tokens JWT stateless (vigencia de 12 horas) y contraseñas protegidas con el algoritmo Argon2id conforme al estándar RFC 9106 [6]. La API se encuentra resguardada con cabeceras Helmet y políticas restrictivas de CORS.</w:t>
      </w:r>
    </w:p>
    <w:p w:rsidR="00000000" w:rsidDel="00000000" w:rsidP="00000000" w:rsidRDefault="00000000" w:rsidRPr="00000000" w14:paraId="0000002B">
      <w:pPr>
        <w:pStyle w:val="Heading2"/>
        <w:spacing w:after="120" w:before="280" w:lineRule="auto"/>
        <w:rPr>
          <w:rFonts w:ascii="Arial" w:cs="Arial" w:eastAsia="Arial" w:hAnsi="Arial"/>
          <w:b w:val="1"/>
          <w:bCs w:val="1"/>
          <w:color w:val="1e40af"/>
          <w:sz w:val="23"/>
          <w:szCs w:val="23"/>
        </w:rPr>
      </w:pPr>
      <w:bookmarkStart w:colFirst="0" w:colLast="0" w:name="_bkpvsr60jib2" w:id="5"/>
      <w:bookmarkEnd w:id="5"/>
      <w:r w:rsidDel="00000000" w:rsidR="00000000" w:rsidRPr="00000000">
        <w:rPr>
          <w:rFonts w:ascii="Arial" w:cs="Arial" w:eastAsia="Arial" w:hAnsi="Arial"/>
          <w:b w:val="1"/>
          <w:bCs w:val="1"/>
          <w:color w:val="1e40af"/>
          <w:sz w:val="23"/>
          <w:szCs w:val="23"/>
          <w:rtl w:val="0"/>
        </w:rPr>
        <w:t xml:space="preserve">2.3. Síntesis de la Demostración Funcional en Producción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w:cs="Arial" w:eastAsia="Arial" w:hAnsi="Arial"/>
          <w:b w:val="0"/>
          <w:bCs w:val="0"/>
          <w:color w:val="1f2937"/>
          <w:sz w:val="21"/>
          <w:szCs w:val="21"/>
        </w:rPr>
      </w:pPr>
      <w:r w:rsidDel="00000000" w:rsidR="00000000" w:rsidRPr="00000000">
        <w:rPr>
          <w:rFonts w:ascii="Arial" w:cs="Arial" w:eastAsia="Arial" w:hAnsi="Arial"/>
          <w:b w:val="0"/>
          <w:bCs w:val="0"/>
          <w:color w:val="1f2937"/>
          <w:sz w:val="21"/>
          <w:szCs w:val="21"/>
          <w:rtl w:val="0"/>
        </w:rPr>
        <w:t xml:space="preserve">Durante la sustentación técnica en vivo, la solución se evalúa operando directamente sobre su entorno de producción en la nube:</w:t>
      </w:r>
    </w:p>
    <w:p w:rsidR="00000000" w:rsidDel="00000000" w:rsidP="00000000" w:rsidRDefault="00000000" w:rsidRPr="00000000" w14:paraId="0000002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Fonts w:ascii="Arial" w:cs="Arial" w:eastAsia="Arial" w:hAnsi="Arial"/>
          <w:b w:val="1"/>
          <w:bCs w:val="1"/>
          <w:color w:val="1f2937"/>
          <w:sz w:val="21"/>
          <w:szCs w:val="21"/>
          <w:rtl w:val="0"/>
        </w:rPr>
        <w:t xml:space="preserve">Acceso y Control Basado en Roles (RBAC): </w:t>
      </w:r>
      <w:r w:rsidDel="00000000" w:rsidR="00000000" w:rsidRPr="00000000">
        <w:rPr>
          <w:rFonts w:ascii="Arial" w:cs="Arial" w:eastAsia="Arial" w:hAnsi="Arial"/>
          <w:b w:val="0"/>
          <w:bCs w:val="0"/>
          <w:color w:val="1f2937"/>
          <w:sz w:val="21"/>
          <w:szCs w:val="21"/>
          <w:rtl w:val="0"/>
        </w:rPr>
        <w:t xml:space="preserve">Inicio de sesión diferenciado según los cinco perfiles del sistema (Administrador, Mesero, Cajero, Cocinero y Cliente) y comprobación de guardias de autorización (RolesGuard).</w:t>
      </w:r>
    </w:p>
    <w:p w:rsidR="00000000" w:rsidDel="00000000" w:rsidP="00000000" w:rsidRDefault="00000000" w:rsidRPr="00000000" w14:paraId="0000002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Fonts w:ascii="Arial" w:cs="Arial" w:eastAsia="Arial" w:hAnsi="Arial"/>
          <w:b w:val="1"/>
          <w:bCs w:val="1"/>
          <w:color w:val="1f2937"/>
          <w:sz w:val="21"/>
          <w:szCs w:val="21"/>
          <w:rtl w:val="0"/>
        </w:rPr>
        <w:t xml:space="preserve">Monitoreo Visual del Salón: </w:t>
      </w:r>
      <w:r w:rsidDel="00000000" w:rsidR="00000000" w:rsidRPr="00000000">
        <w:rPr>
          <w:rFonts w:ascii="Arial" w:cs="Arial" w:eastAsia="Arial" w:hAnsi="Arial"/>
          <w:b w:val="0"/>
          <w:bCs w:val="0"/>
          <w:color w:val="1f2937"/>
          <w:sz w:val="21"/>
          <w:szCs w:val="21"/>
          <w:rtl w:val="0"/>
        </w:rPr>
        <w:t xml:space="preserve">Representación cromática en tiempo real del estado de las mesas (Libre, Ocupada, Atendiendo) y apertura inmediata de cuentas.</w:t>
      </w:r>
    </w:p>
    <w:p w:rsidR="00000000" w:rsidDel="00000000" w:rsidP="00000000" w:rsidRDefault="00000000" w:rsidRPr="00000000" w14:paraId="0000002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Fonts w:ascii="Arial" w:cs="Arial" w:eastAsia="Arial" w:hAnsi="Arial"/>
          <w:b w:val="1"/>
          <w:bCs w:val="1"/>
          <w:color w:val="1f2937"/>
          <w:sz w:val="21"/>
          <w:szCs w:val="21"/>
          <w:rtl w:val="0"/>
        </w:rPr>
        <w:t xml:space="preserve">Gestión de Comandas y KDS en Cocina: </w:t>
      </w:r>
      <w:r w:rsidDel="00000000" w:rsidR="00000000" w:rsidRPr="00000000">
        <w:rPr>
          <w:rFonts w:ascii="Arial" w:cs="Arial" w:eastAsia="Arial" w:hAnsi="Arial"/>
          <w:b w:val="0"/>
          <w:bCs w:val="0"/>
          <w:color w:val="1f2937"/>
          <w:sz w:val="21"/>
          <w:szCs w:val="21"/>
          <w:rtl w:val="0"/>
        </w:rPr>
        <w:t xml:space="preserve">Captura de ítems con notas culinarias personalizadas, despacho inmediato a la terminal táctil de cocina y transición fluida de estados (Pendiente -&gt; En Preparación -&gt; Listo).</w:t>
      </w:r>
    </w:p>
    <w:p w:rsidR="00000000" w:rsidDel="00000000" w:rsidP="00000000" w:rsidRDefault="00000000" w:rsidRPr="00000000" w14:paraId="0000003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Fonts w:ascii="Arial" w:cs="Arial" w:eastAsia="Arial" w:hAnsi="Arial"/>
          <w:b w:val="1"/>
          <w:bCs w:val="1"/>
          <w:color w:val="1f2937"/>
          <w:sz w:val="21"/>
          <w:szCs w:val="21"/>
          <w:rtl w:val="0"/>
        </w:rPr>
        <w:t xml:space="preserve">Gestión de Domicilios y Mitigación IDOR: </w:t>
      </w:r>
      <w:r w:rsidDel="00000000" w:rsidR="00000000" w:rsidRPr="00000000">
        <w:rPr>
          <w:rFonts w:ascii="Arial" w:cs="Arial" w:eastAsia="Arial" w:hAnsi="Arial"/>
          <w:b w:val="0"/>
          <w:bCs w:val="0"/>
          <w:color w:val="1f2937"/>
          <w:sz w:val="21"/>
          <w:szCs w:val="21"/>
          <w:rtl w:val="0"/>
        </w:rPr>
        <w:t xml:space="preserve">Recepción de pedidos externos generados por clientes autenticados con Google, verificación estricta de titularidad del registro (prevención contra Insecure Direct Object References), asignación de repartidor y selección del medio de pago.</w:t>
      </w:r>
    </w:p>
    <w:p w:rsidR="00000000" w:rsidDel="00000000" w:rsidP="00000000" w:rsidRDefault="00000000" w:rsidRPr="00000000" w14:paraId="0000003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pPr>
      <w:r w:rsidDel="00000000" w:rsidR="00000000" w:rsidRPr="00000000">
        <w:rPr>
          <w:rFonts w:ascii="Arial" w:cs="Arial" w:eastAsia="Arial" w:hAnsi="Arial"/>
          <w:b w:val="1"/>
          <w:bCs w:val="1"/>
          <w:color w:val="1f2937"/>
          <w:sz w:val="21"/>
          <w:szCs w:val="21"/>
          <w:rtl w:val="0"/>
        </w:rPr>
        <w:t xml:space="preserve">Liquidación Multimodal y Arqueo Contable de Caja: </w:t>
      </w:r>
      <w:r w:rsidDel="00000000" w:rsidR="00000000" w:rsidRPr="00000000">
        <w:rPr>
          <w:rFonts w:ascii="Arial" w:cs="Arial" w:eastAsia="Arial" w:hAnsi="Arial"/>
          <w:b w:val="0"/>
          <w:bCs w:val="0"/>
          <w:color w:val="1f2937"/>
          <w:sz w:val="21"/>
          <w:szCs w:val="21"/>
          <w:rtl w:val="0"/>
        </w:rPr>
        <w:t xml:space="preserve">Cierre de pedidos con cálculo automático de cambio y ejecución de la auditoría de turno mediante arqueo físico desglosado por denominaciones de billetes colombianos ($100.000, $50.000, $20.000, $10.000, $5.000 y $2.000 COP) con balance determinista de discrepancias (sobrante o faltante).</w:t>
      </w:r>
    </w:p>
    <w:p w:rsidR="00000000" w:rsidDel="00000000" w:rsidP="00000000" w:rsidRDefault="00000000" w:rsidRPr="00000000" w14:paraId="00000032">
      <w:pPr>
        <w:pStyle w:val="Heading3"/>
        <w:spacing w:after="80" w:before="200" w:lineRule="auto"/>
        <w:rPr>
          <w:rFonts w:ascii="Arial" w:cs="Arial" w:eastAsia="Arial" w:hAnsi="Arial"/>
          <w:b w:val="1"/>
          <w:bCs w:val="1"/>
          <w:color w:val="334155"/>
          <w:sz w:val="21"/>
          <w:szCs w:val="21"/>
        </w:rPr>
      </w:pPr>
      <w:bookmarkStart w:colFirst="0" w:colLast="0" w:name="_2amkj1ffa5hy" w:id="6"/>
      <w:bookmarkEnd w:id="6"/>
      <w:r w:rsidDel="00000000" w:rsidR="00000000" w:rsidRPr="00000000">
        <w:rPr>
          <w:rFonts w:ascii="Arial" w:cs="Arial" w:eastAsia="Arial" w:hAnsi="Arial"/>
          <w:b w:val="1"/>
          <w:bCs w:val="1"/>
          <w:color w:val="334155"/>
          <w:sz w:val="21"/>
          <w:szCs w:val="21"/>
          <w:rtl w:val="0"/>
        </w:rPr>
        <w:t xml:space="preserve">Verificación de Sustentación y Demo: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Presentación ejecutiva y técnica estructurada entre 15 y 20 minutos.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Demostración funcional en vivo ejecutada en entorno Cloud sin errores.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Evidencia práctica de la pila tecnológica seleccionada (Angular 22, NestJS 12, Prisma y Neon).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Problema operativo claramente contextualizado y resuelto por la plataforma.</w:t>
      </w:r>
    </w:p>
    <w:p w:rsidR="00000000" w:rsidDel="00000000" w:rsidP="00000000" w:rsidRDefault="00000000" w:rsidRPr="00000000" w14:paraId="00000037">
      <w:pPr>
        <w:pStyle w:val="Heading1"/>
        <w:spacing w:after="160" w:before="360" w:lineRule="auto"/>
        <w:rPr>
          <w:rFonts w:ascii="Arial" w:cs="Arial" w:eastAsia="Arial" w:hAnsi="Arial"/>
          <w:b w:val="1"/>
          <w:bCs w:val="1"/>
          <w:color w:val="1b365d"/>
          <w:sz w:val="28"/>
          <w:szCs w:val="28"/>
        </w:rPr>
      </w:pPr>
      <w:bookmarkStart w:colFirst="0" w:colLast="0" w:name="_v752kvwectfv" w:id="7"/>
      <w:bookmarkEnd w:id="7"/>
      <w:r w:rsidDel="00000000" w:rsidR="00000000" w:rsidRPr="00000000">
        <w:rPr>
          <w:rFonts w:ascii="Arial" w:cs="Arial" w:eastAsia="Arial" w:hAnsi="Arial"/>
          <w:b w:val="1"/>
          <w:bCs w:val="1"/>
          <w:color w:val="1b365d"/>
          <w:sz w:val="28"/>
          <w:szCs w:val="28"/>
          <w:rtl w:val="0"/>
        </w:rPr>
        <w:t xml:space="preserve">3. Refinamiento de Ítems Anteriores (5% según Rúbrica)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color w:val="1f2937"/>
          <w:sz w:val="21"/>
          <w:szCs w:val="21"/>
        </w:rPr>
      </w:pPr>
      <w:r w:rsidDel="00000000" w:rsidR="00000000" w:rsidRPr="00000000">
        <w:rPr>
          <w:rFonts w:ascii="Arial" w:cs="Arial" w:eastAsia="Arial" w:hAnsi="Arial"/>
          <w:b w:val="0"/>
          <w:bCs w:val="0"/>
          <w:color w:val="1f2937"/>
          <w:sz w:val="21"/>
          <w:szCs w:val="21"/>
          <w:rtl w:val="0"/>
        </w:rPr>
        <w:t xml:space="preserve">Durante la transición hacia el Sprint 1, el equipo consolidó una evolución arquitectónica y metodológica sustancial. Se asimilaron las observaciones de la Entrega 1 sustituyendo el enfoque de prototipado local por una plataforma Cloud-Native de grado productivo. La siguiente matriz detalla los artefactos refinados y su justificación de ingeniería:</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color w:val="1f2937"/>
          <w:sz w:val="21"/>
          <w:szCs w:val="21"/>
        </w:rPr>
      </w:pPr>
      <w:r w:rsidDel="00000000" w:rsidR="00000000" w:rsidRPr="00000000">
        <w:rPr>
          <w:rtl w:val="0"/>
        </w:rPr>
      </w:r>
    </w:p>
    <w:tbl>
      <w:tblPr>
        <w:tblStyle w:val="Table2"/>
        <w:tblW w:w="960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2100"/>
        <w:gridCol w:w="3840"/>
        <w:gridCol w:w="3660"/>
        <w:tblGridChange w:id="0">
          <w:tblGrid>
            <w:gridCol w:w="2100"/>
            <w:gridCol w:w="3840"/>
            <w:gridCol w:w="3660"/>
          </w:tblGrid>
        </w:tblGridChange>
      </w:tblGrid>
      <w:tr>
        <w:trPr>
          <w:cantSplit w:val="0"/>
          <w:tblHeader w:val="0"/>
        </w:trPr>
        <w:tc>
          <w:tcPr>
            <w:shd w:fill="1b365d" w:val="clear"/>
            <w:tcMar>
              <w:top w:w="120.0" w:type="dxa"/>
              <w:left w:w="160.0" w:type="dxa"/>
              <w:bottom w:w="120.0" w:type="dxa"/>
              <w:right w:w="16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Artefacto Refinado</w:t>
            </w:r>
          </w:p>
        </w:tc>
        <w:tc>
          <w:tcPr>
            <w:shd w:fill="1b365d" w:val="clear"/>
            <w:tcMar>
              <w:top w:w="120.0" w:type="dxa"/>
              <w:left w:w="160.0" w:type="dxa"/>
              <w:bottom w:w="120.0" w:type="dxa"/>
              <w:right w:w="16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Cambios Técnicos y Metodológicos Ejecutados</w:t>
            </w:r>
          </w:p>
        </w:tc>
        <w:tc>
          <w:tcPr>
            <w:shd w:fill="1b365d" w:val="clear"/>
            <w:tcMar>
              <w:top w:w="120.0" w:type="dxa"/>
              <w:left w:w="160.0" w:type="dxa"/>
              <w:bottom w:w="120.0" w:type="dxa"/>
              <w:right w:w="16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Justificación de Ingeniería y Valor de Negocio</w:t>
            </w:r>
          </w:p>
        </w:tc>
      </w:tr>
      <w:tr>
        <w:trPr>
          <w:cantSplit w:val="0"/>
          <w:tblHeader w:val="0"/>
        </w:trPr>
        <w:tc>
          <w:tcPr>
            <w:shd w:fill="ffffff" w:val="clear"/>
            <w:tcMar>
              <w:top w:w="120.0" w:type="dxa"/>
              <w:left w:w="160.0" w:type="dxa"/>
              <w:bottom w:w="120.0" w:type="dxa"/>
              <w:right w:w="16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f2937"/>
                <w:sz w:val="19"/>
                <w:szCs w:val="19"/>
              </w:rPr>
            </w:pPr>
            <w:r w:rsidDel="00000000" w:rsidR="00000000" w:rsidRPr="00000000">
              <w:rPr>
                <w:rFonts w:ascii="Arial" w:cs="Arial" w:eastAsia="Arial" w:hAnsi="Arial"/>
                <w:b w:val="1"/>
                <w:bCs w:val="1"/>
                <w:color w:val="1f2937"/>
                <w:sz w:val="19"/>
                <w:szCs w:val="19"/>
                <w:rtl w:val="0"/>
              </w:rPr>
              <w:t xml:space="preserve">Arquitectura de Despliegue y Conectividad</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Reestructuración integral del enfoque preliminar de red de área local (Local-First) hacia una arquitectura distribuida Cloud-Native desacoplada: Frontend en Vercel Edge CDN, Backend en Render Web Services y Persistencia en Neon PostgreSQL Serverless [4].</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En la Entrega 1, el diseño limitaba la operación al interior físico del salón. Siguiendo la directriz del docente, la migración a la nube viabilizó la omnicanalidad: habilitó pedidos en línea por clientes externos (domicilios) y acceso ubicuo vía HTTPS sin requerir servidores físicos en el local.</w:t>
            </w:r>
          </w:p>
        </w:tc>
      </w:tr>
      <w:tr>
        <w:trPr>
          <w:cantSplit w:val="0"/>
          <w:tblHeader w:val="0"/>
        </w:trPr>
        <w:tc>
          <w:tcPr>
            <w:shd w:fill="f8fafc" w:val="clear"/>
            <w:tcMar>
              <w:top w:w="120.0" w:type="dxa"/>
              <w:left w:w="160.0" w:type="dxa"/>
              <w:bottom w:w="120.0" w:type="dxa"/>
              <w:right w:w="16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f2937"/>
                <w:sz w:val="19"/>
                <w:szCs w:val="19"/>
              </w:rPr>
            </w:pPr>
            <w:r w:rsidDel="00000000" w:rsidR="00000000" w:rsidRPr="00000000">
              <w:rPr>
                <w:rFonts w:ascii="Arial" w:cs="Arial" w:eastAsia="Arial" w:hAnsi="Arial"/>
                <w:b w:val="1"/>
                <w:bCs w:val="1"/>
                <w:color w:val="1f2937"/>
                <w:sz w:val="19"/>
                <w:szCs w:val="19"/>
                <w:rtl w:val="0"/>
              </w:rPr>
              <w:t xml:space="preserve">Modelo Relacional y Persistencia Transaccional (Prisma ORM)</w:t>
            </w:r>
          </w:p>
        </w:tc>
        <w:tc>
          <w:tcPr>
            <w:shd w:fill="f8fafc" w:val="clear"/>
            <w:tcMar>
              <w:top w:w="120.0" w:type="dxa"/>
              <w:left w:w="160.0" w:type="dxa"/>
              <w:bottom w:w="120.0" w:type="dxa"/>
              <w:right w:w="16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Evolución del diagrama conceptual inicial a un esquema relacional normalizado en 3FN y fuertemente tipado en Prisma (TurnoCaja, MovimientoCaja, Factura, Pago, Pedido, DetallePedido, Producto, Categoria, Usuario). Integración de migraciones (prisma db push) y transacciones ACID (prisma.$transaction) [5].</w:t>
            </w:r>
          </w:p>
        </w:tc>
        <w:tc>
          <w:tcPr>
            <w:shd w:fill="f8fafc" w:val="clear"/>
            <w:tcMar>
              <w:top w:w="120.0" w:type="dxa"/>
              <w:left w:w="160.0" w:type="dxa"/>
              <w:bottom w:w="120.0" w:type="dxa"/>
              <w:right w:w="16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El modelo previo era puramente conceptual. Para el Sprint 1 se garantizó integridad referencial estricta, consistencia contable en cobros múltiples y cierres de turno, y congelamiento del precio unitario histórico en DetallePedido para evitar alteraciones retroactivas.</w:t>
            </w:r>
          </w:p>
        </w:tc>
      </w:tr>
      <w:tr>
        <w:trPr>
          <w:cantSplit w:val="0"/>
          <w:tblHeader w:val="0"/>
        </w:trPr>
        <w:tc>
          <w:tcPr>
            <w:shd w:fill="ffffff" w:val="clear"/>
            <w:tcMar>
              <w:top w:w="120.0" w:type="dxa"/>
              <w:left w:w="160.0" w:type="dxa"/>
              <w:bottom w:w="120.0" w:type="dxa"/>
              <w:right w:w="16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f2937"/>
                <w:sz w:val="19"/>
                <w:szCs w:val="19"/>
              </w:rPr>
            </w:pPr>
            <w:r w:rsidDel="00000000" w:rsidR="00000000" w:rsidRPr="00000000">
              <w:rPr>
                <w:rFonts w:ascii="Arial" w:cs="Arial" w:eastAsia="Arial" w:hAnsi="Arial"/>
                <w:b w:val="1"/>
                <w:bCs w:val="1"/>
                <w:color w:val="1f2937"/>
                <w:sz w:val="19"/>
                <w:szCs w:val="19"/>
                <w:rtl w:val="0"/>
              </w:rPr>
              <w:t xml:space="preserve">Arquitectura Frontend y Reactividad SPA (Angular 22)</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Migración de maquetas estáticas preliminares hacia una SPA reactiva implementada con Standalone Components de Angular 22, unificación del sistema de diseño en SCSS y adopción de Angular Signals y RxJS para la gestión reactiva de estado [2].</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Garantiza una experiencia táctil fluida en salón y dispositivos móviles, reduce el tamaño de los paquetes compilados (bundles) y elimina recargas manuales del navegador al actualizar estados de mesas y comandas en el visor de cocina (KDS).</w:t>
            </w:r>
          </w:p>
        </w:tc>
      </w:tr>
      <w:tr>
        <w:trPr>
          <w:cantSplit w:val="0"/>
          <w:tblHeader w:val="0"/>
        </w:trPr>
        <w:tc>
          <w:tcPr>
            <w:shd w:fill="f8fafc" w:val="clear"/>
            <w:tcMar>
              <w:top w:w="120.0" w:type="dxa"/>
              <w:left w:w="160.0" w:type="dxa"/>
              <w:bottom w:w="120.0" w:type="dxa"/>
              <w:right w:w="16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f2937"/>
                <w:sz w:val="19"/>
                <w:szCs w:val="19"/>
              </w:rPr>
            </w:pPr>
            <w:r w:rsidDel="00000000" w:rsidR="00000000" w:rsidRPr="00000000">
              <w:rPr>
                <w:rFonts w:ascii="Arial" w:cs="Arial" w:eastAsia="Arial" w:hAnsi="Arial"/>
                <w:b w:val="1"/>
                <w:bCs w:val="1"/>
                <w:color w:val="1f2937"/>
                <w:sz w:val="19"/>
                <w:szCs w:val="19"/>
                <w:rtl w:val="0"/>
              </w:rPr>
              <w:t xml:space="preserve">Product Backlog e Ingeniería de Requisitos (Jira)</w:t>
            </w:r>
          </w:p>
        </w:tc>
        <w:tc>
          <w:tcPr>
            <w:shd w:fill="f8fafc" w:val="clear"/>
            <w:tcMar>
              <w:top w:w="120.0" w:type="dxa"/>
              <w:left w:w="160.0" w:type="dxa"/>
              <w:bottom w:w="120.0" w:type="dxa"/>
              <w:right w:w="16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Atomización de macro-épicas en ocho Historias de Usuario independientes (HU-001 a HU-008), estimación formal de esfuerzo en Story Points mediante la serie Fibonacci y especificación de criterios de aceptación bajo sintaxis BDD/Gherkin (Given-When-Then) [7].</w:t>
            </w:r>
          </w:p>
        </w:tc>
        <w:tc>
          <w:tcPr>
            <w:shd w:fill="f8fafc" w:val="clear"/>
            <w:tcMar>
              <w:top w:w="120.0" w:type="dxa"/>
              <w:left w:w="160.0" w:type="dxa"/>
              <w:bottom w:w="120.0" w:type="dxa"/>
              <w:right w:w="16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Aportó predictibilidad a la velocidad del equipo durante el Sprint 1, facilitó el seguimiento granular de subtareas en el tablero de Jira Software y sirvió como especificación directa para las suites de pruebas automatizadas.</w:t>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color w:val="1f2937"/>
          <w:sz w:val="21"/>
          <w:szCs w:val="21"/>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rial" w:cs="Arial" w:eastAsia="Arial" w:hAnsi="Arial"/>
          <w:b w:val="0"/>
          <w:bCs w:val="0"/>
          <w:color w:val="1f2937"/>
          <w:sz w:val="12"/>
          <w:szCs w:val="12"/>
        </w:rPr>
      </w:pPr>
      <w:r w:rsidDel="00000000" w:rsidR="00000000" w:rsidRPr="00000000">
        <w:rPr>
          <w:rtl w:val="0"/>
        </w:rPr>
      </w:r>
    </w:p>
    <w:p w:rsidR="00000000" w:rsidDel="00000000" w:rsidP="00000000" w:rsidRDefault="00000000" w:rsidRPr="00000000" w14:paraId="0000004B">
      <w:pPr>
        <w:pStyle w:val="Heading3"/>
        <w:spacing w:after="80" w:before="200" w:lineRule="auto"/>
        <w:rPr>
          <w:rFonts w:ascii="Arial" w:cs="Arial" w:eastAsia="Arial" w:hAnsi="Arial"/>
          <w:b w:val="1"/>
          <w:bCs w:val="1"/>
          <w:color w:val="334155"/>
          <w:sz w:val="21"/>
          <w:szCs w:val="21"/>
        </w:rPr>
      </w:pPr>
      <w:bookmarkStart w:colFirst="0" w:colLast="0" w:name="_18qfq3t7ediz" w:id="8"/>
      <w:bookmarkEnd w:id="8"/>
      <w:r w:rsidDel="00000000" w:rsidR="00000000" w:rsidRPr="00000000">
        <w:rPr>
          <w:rFonts w:ascii="Arial" w:cs="Arial" w:eastAsia="Arial" w:hAnsi="Arial"/>
          <w:b w:val="1"/>
          <w:bCs w:val="1"/>
          <w:color w:val="334155"/>
          <w:sz w:val="21"/>
          <w:szCs w:val="21"/>
          <w:rtl w:val="0"/>
        </w:rPr>
        <w:t xml:space="preserve">Verificación de Evolución y Refinamiento:</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Artefactos arquitectónicos, de datos y de interfaz refinados respecto a la Entrega 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Decisiones de rediseño documentadas y justificadas técnicamente.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Product Backlog actualizado, priorizado y visible en la plataforma Jira Software.</w:t>
      </w:r>
    </w:p>
    <w:p w:rsidR="00000000" w:rsidDel="00000000" w:rsidP="00000000" w:rsidRDefault="00000000" w:rsidRPr="00000000" w14:paraId="0000004F">
      <w:pPr>
        <w:pStyle w:val="Heading1"/>
        <w:spacing w:after="160" w:before="360" w:lineRule="auto"/>
        <w:rPr>
          <w:rFonts w:ascii="Arial" w:cs="Arial" w:eastAsia="Arial" w:hAnsi="Arial"/>
          <w:b w:val="1"/>
          <w:bCs w:val="1"/>
          <w:color w:val="1b365d"/>
          <w:sz w:val="28"/>
          <w:szCs w:val="28"/>
        </w:rPr>
      </w:pPr>
      <w:bookmarkStart w:colFirst="0" w:colLast="0" w:name="_ejklv6m9ag8y" w:id="9"/>
      <w:bookmarkEnd w:id="9"/>
      <w:r w:rsidDel="00000000" w:rsidR="00000000" w:rsidRPr="00000000">
        <w:rPr>
          <w:rFonts w:ascii="Arial" w:cs="Arial" w:eastAsia="Arial" w:hAnsi="Arial"/>
          <w:b w:val="1"/>
          <w:bCs w:val="1"/>
          <w:color w:val="1b365d"/>
          <w:sz w:val="28"/>
          <w:szCs w:val="28"/>
          <w:rtl w:val="0"/>
        </w:rPr>
        <w:t xml:space="preserve">4. Pipeline CI/CD, Aseguramiento de Calidad y Seguridad (20% según Rúbrica)</w:t>
      </w:r>
    </w:p>
    <w:p w:rsidR="00000000" w:rsidDel="00000000" w:rsidP="00000000" w:rsidRDefault="00000000" w:rsidRPr="00000000" w14:paraId="00000050">
      <w:pPr>
        <w:pStyle w:val="Heading2"/>
        <w:spacing w:after="120" w:before="280" w:lineRule="auto"/>
        <w:rPr>
          <w:rFonts w:ascii="Arial" w:cs="Arial" w:eastAsia="Arial" w:hAnsi="Arial"/>
          <w:b w:val="1"/>
          <w:bCs w:val="1"/>
          <w:color w:val="1e40af"/>
          <w:sz w:val="23"/>
          <w:szCs w:val="23"/>
        </w:rPr>
      </w:pPr>
      <w:bookmarkStart w:colFirst="0" w:colLast="0" w:name="_1q7lc5kzm3qd" w:id="10"/>
      <w:bookmarkEnd w:id="10"/>
      <w:r w:rsidDel="00000000" w:rsidR="00000000" w:rsidRPr="00000000">
        <w:rPr>
          <w:rFonts w:ascii="Arial" w:cs="Arial" w:eastAsia="Arial" w:hAnsi="Arial"/>
          <w:b w:val="1"/>
          <w:bCs w:val="1"/>
          <w:color w:val="1e40af"/>
          <w:sz w:val="23"/>
          <w:szCs w:val="23"/>
          <w:rtl w:val="0"/>
        </w:rPr>
        <w:t xml:space="preserve">4.1. Pipeline de Integración y Entrega Continua (CI/CD)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w:cs="Arial" w:eastAsia="Arial" w:hAnsi="Arial"/>
          <w:b w:val="0"/>
          <w:bCs w:val="0"/>
          <w:color w:val="1f2937"/>
          <w:sz w:val="21"/>
          <w:szCs w:val="21"/>
        </w:rPr>
      </w:pPr>
      <w:r w:rsidDel="00000000" w:rsidR="00000000" w:rsidRPr="00000000">
        <w:rPr>
          <w:rFonts w:ascii="Arial" w:cs="Arial" w:eastAsia="Arial" w:hAnsi="Arial"/>
          <w:b w:val="0"/>
          <w:bCs w:val="0"/>
          <w:color w:val="1f2937"/>
          <w:sz w:val="21"/>
          <w:szCs w:val="21"/>
          <w:rtl w:val="0"/>
        </w:rPr>
        <w:t xml:space="preserve">Siguiendo los principios de Integración Continua formulados por Fowler [8] y las buenas prácticas de automatización en GitHub Actions [9], se estructuró el flujo de trabajo definido en .github/workflows/ci.yml:</w:t>
      </w:r>
    </w:p>
    <w:tbl>
      <w:tblPr>
        <w:tblStyle w:val="Table3"/>
        <w:tblW w:w="960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1920"/>
        <w:gridCol w:w="5560"/>
        <w:gridCol w:w="2120"/>
        <w:tblGridChange w:id="0">
          <w:tblGrid>
            <w:gridCol w:w="1920"/>
            <w:gridCol w:w="5560"/>
            <w:gridCol w:w="2120"/>
          </w:tblGrid>
        </w:tblGridChange>
      </w:tblGrid>
      <w:tr>
        <w:trPr>
          <w:cantSplit w:val="0"/>
          <w:tblHeader w:val="0"/>
        </w:trPr>
        <w:tc>
          <w:tcPr>
            <w:shd w:fill="1b365d" w:val="clear"/>
            <w:tcMar>
              <w:top w:w="120.0" w:type="dxa"/>
              <w:left w:w="160.0" w:type="dxa"/>
              <w:bottom w:w="120.0" w:type="dxa"/>
              <w:right w:w="160.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Etapa del Pipeline</w:t>
            </w:r>
          </w:p>
        </w:tc>
        <w:tc>
          <w:tcPr>
            <w:shd w:fill="1b365d" w:val="clear"/>
            <w:tcMar>
              <w:top w:w="120.0" w:type="dxa"/>
              <w:left w:w="160.0" w:type="dxa"/>
              <w:bottom w:w="120.0" w:type="dxa"/>
              <w:right w:w="16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Herramienta y Configuración de Ejecución</w:t>
            </w:r>
          </w:p>
        </w:tc>
        <w:tc>
          <w:tcPr>
            <w:shd w:fill="1b365d" w:val="clear"/>
            <w:tcMar>
              <w:top w:w="120.0" w:type="dxa"/>
              <w:left w:w="160.0" w:type="dxa"/>
              <w:bottom w:w="120.0" w:type="dxa"/>
              <w:right w:w="16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Estado Operativo</w:t>
            </w:r>
          </w:p>
        </w:tc>
      </w:tr>
      <w:tr>
        <w:trPr>
          <w:cantSplit w:val="0"/>
          <w:tblHeader w:val="0"/>
        </w:trPr>
        <w:tc>
          <w:tcPr>
            <w:shd w:fill="ffffff" w:val="clear"/>
            <w:tcMar>
              <w:top w:w="120.0" w:type="dxa"/>
              <w:left w:w="160.0" w:type="dxa"/>
              <w:bottom w:w="120.0" w:type="dxa"/>
              <w:right w:w="16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f2937"/>
                <w:sz w:val="19"/>
                <w:szCs w:val="19"/>
              </w:rPr>
            </w:pPr>
            <w:r w:rsidDel="00000000" w:rsidR="00000000" w:rsidRPr="00000000">
              <w:rPr>
                <w:rFonts w:ascii="Arial" w:cs="Arial" w:eastAsia="Arial" w:hAnsi="Arial"/>
                <w:b w:val="1"/>
                <w:bCs w:val="1"/>
                <w:color w:val="1f2937"/>
                <w:sz w:val="19"/>
                <w:szCs w:val="19"/>
                <w:rtl w:val="0"/>
              </w:rPr>
              <w:t xml:space="preserve">Compilación (Build)</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Node.js LTS / npm run build (Compilación de API NestJS 12 en Render y SPA Angular 22 en Vercel)</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Unicode MS" w:cs="Arial Unicode MS" w:eastAsia="Arial Unicode MS" w:hAnsi="Arial Unicode MS"/>
                <w:b w:val="0"/>
                <w:bCs w:val="0"/>
                <w:color w:val="1f2937"/>
                <w:sz w:val="19"/>
                <w:szCs w:val="19"/>
                <w:rtl w:val="0"/>
              </w:rPr>
              <w:t xml:space="preserve">✅ Funcionando</w:t>
            </w:r>
          </w:p>
        </w:tc>
      </w:tr>
      <w:tr>
        <w:trPr>
          <w:cantSplit w:val="0"/>
          <w:tblHeader w:val="0"/>
        </w:trPr>
        <w:tc>
          <w:tcPr>
            <w:shd w:fill="f8fafc" w:val="clear"/>
            <w:tcMar>
              <w:top w:w="120.0" w:type="dxa"/>
              <w:left w:w="160.0" w:type="dxa"/>
              <w:bottom w:w="120.0" w:type="dxa"/>
              <w:right w:w="16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f2937"/>
                <w:sz w:val="19"/>
                <w:szCs w:val="19"/>
              </w:rPr>
            </w:pPr>
            <w:r w:rsidDel="00000000" w:rsidR="00000000" w:rsidRPr="00000000">
              <w:rPr>
                <w:rFonts w:ascii="Arial" w:cs="Arial" w:eastAsia="Arial" w:hAnsi="Arial"/>
                <w:b w:val="1"/>
                <w:bCs w:val="1"/>
                <w:color w:val="1f2937"/>
                <w:sz w:val="19"/>
                <w:szCs w:val="19"/>
                <w:rtl w:val="0"/>
              </w:rPr>
              <w:t xml:space="preserve">Pruebas Automatizadas</w:t>
            </w:r>
          </w:p>
        </w:tc>
        <w:tc>
          <w:tcPr>
            <w:shd w:fill="f8fafc" w:val="clear"/>
            <w:tcMar>
              <w:top w:w="120.0" w:type="dxa"/>
              <w:left w:w="160.0" w:type="dxa"/>
              <w:bottom w:w="120.0" w:type="dxa"/>
              <w:right w:w="16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Jest (Backend: 18 suites de pruebas unitarias y de seguridad) y Vitest (Frontend)</w:t>
            </w:r>
          </w:p>
        </w:tc>
        <w:tc>
          <w:tcPr>
            <w:shd w:fill="f8fafc" w:val="clear"/>
            <w:tcMar>
              <w:top w:w="120.0" w:type="dxa"/>
              <w:left w:w="160.0" w:type="dxa"/>
              <w:bottom w:w="120.0" w:type="dxa"/>
              <w:right w:w="16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Unicode MS" w:cs="Arial Unicode MS" w:eastAsia="Arial Unicode MS" w:hAnsi="Arial Unicode MS"/>
                <w:b w:val="0"/>
                <w:bCs w:val="0"/>
                <w:color w:val="1f2937"/>
                <w:sz w:val="19"/>
                <w:szCs w:val="19"/>
                <w:rtl w:val="0"/>
              </w:rPr>
              <w:t xml:space="preserve">✅ Funcionando</w:t>
            </w:r>
          </w:p>
        </w:tc>
      </w:tr>
      <w:tr>
        <w:trPr>
          <w:cantSplit w:val="0"/>
          <w:tblHeader w:val="0"/>
        </w:trPr>
        <w:tc>
          <w:tcPr>
            <w:shd w:fill="ffffff" w:val="clear"/>
            <w:tcMar>
              <w:top w:w="120.0" w:type="dxa"/>
              <w:left w:w="160.0" w:type="dxa"/>
              <w:bottom w:w="120.0" w:type="dxa"/>
              <w:right w:w="16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f2937"/>
                <w:sz w:val="19"/>
                <w:szCs w:val="19"/>
              </w:rPr>
            </w:pPr>
            <w:r w:rsidDel="00000000" w:rsidR="00000000" w:rsidRPr="00000000">
              <w:rPr>
                <w:rFonts w:ascii="Arial" w:cs="Arial" w:eastAsia="Arial" w:hAnsi="Arial"/>
                <w:b w:val="1"/>
                <w:bCs w:val="1"/>
                <w:color w:val="1f2937"/>
                <w:sz w:val="19"/>
                <w:szCs w:val="19"/>
                <w:rtl w:val="0"/>
              </w:rPr>
              <w:t xml:space="preserve">Análisis de Calidad</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Oxlint (Linter estático de alto rendimiento) + Compilador TypeScript en modo estricto (strict: true)</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Unicode MS" w:cs="Arial Unicode MS" w:eastAsia="Arial Unicode MS" w:hAnsi="Arial Unicode MS"/>
                <w:b w:val="0"/>
                <w:bCs w:val="0"/>
                <w:color w:val="1f2937"/>
                <w:sz w:val="19"/>
                <w:szCs w:val="19"/>
                <w:rtl w:val="0"/>
              </w:rPr>
              <w:t xml:space="preserve">✅ Funcionando</w:t>
            </w:r>
          </w:p>
        </w:tc>
      </w:tr>
      <w:tr>
        <w:trPr>
          <w:cantSplit w:val="0"/>
          <w:tblHeader w:val="0"/>
        </w:trPr>
        <w:tc>
          <w:tcPr>
            <w:shd w:fill="f8fafc" w:val="clear"/>
            <w:tcMar>
              <w:top w:w="120.0" w:type="dxa"/>
              <w:left w:w="160.0" w:type="dxa"/>
              <w:bottom w:w="120.0" w:type="dxa"/>
              <w:right w:w="16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f2937"/>
                <w:sz w:val="19"/>
                <w:szCs w:val="19"/>
              </w:rPr>
            </w:pPr>
            <w:r w:rsidDel="00000000" w:rsidR="00000000" w:rsidRPr="00000000">
              <w:rPr>
                <w:rFonts w:ascii="Arial" w:cs="Arial" w:eastAsia="Arial" w:hAnsi="Arial"/>
                <w:b w:val="1"/>
                <w:bCs w:val="1"/>
                <w:color w:val="1f2937"/>
                <w:sz w:val="19"/>
                <w:szCs w:val="19"/>
                <w:rtl w:val="0"/>
              </w:rPr>
              <w:t xml:space="preserve">Auditoría de Seguridad</w:t>
            </w:r>
          </w:p>
        </w:tc>
        <w:tc>
          <w:tcPr>
            <w:shd w:fill="f8fafc" w:val="clear"/>
            <w:tcMar>
              <w:top w:w="120.0" w:type="dxa"/>
              <w:left w:w="160.0" w:type="dxa"/>
              <w:bottom w:w="120.0" w:type="dxa"/>
              <w:right w:w="16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GitHub CodeQL (SAST) + Suite Automatizada OWASP Top 10:2025 + Escáner Dinámico OWASP ZAP (DAST) [10]</w:t>
            </w:r>
          </w:p>
        </w:tc>
        <w:tc>
          <w:tcPr>
            <w:shd w:fill="f8fafc" w:val="clear"/>
            <w:tcMar>
              <w:top w:w="120.0" w:type="dxa"/>
              <w:left w:w="160.0" w:type="dxa"/>
              <w:bottom w:w="120.0" w:type="dxa"/>
              <w:right w:w="16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Unicode MS" w:cs="Arial Unicode MS" w:eastAsia="Arial Unicode MS" w:hAnsi="Arial Unicode MS"/>
                <w:b w:val="0"/>
                <w:bCs w:val="0"/>
                <w:color w:val="1f2937"/>
                <w:sz w:val="19"/>
                <w:szCs w:val="19"/>
                <w:rtl w:val="0"/>
              </w:rPr>
              <w:t xml:space="preserve">✅ Funcionando</w:t>
            </w:r>
          </w:p>
        </w:tc>
      </w:tr>
      <w:tr>
        <w:trPr>
          <w:cantSplit w:val="0"/>
          <w:tblHeader w:val="0"/>
        </w:trPr>
        <w:tc>
          <w:tcPr>
            <w:shd w:fill="ffffff" w:val="clear"/>
            <w:tcMar>
              <w:top w:w="120.0" w:type="dxa"/>
              <w:left w:w="160.0" w:type="dxa"/>
              <w:bottom w:w="120.0" w:type="dxa"/>
              <w:right w:w="16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f2937"/>
                <w:sz w:val="19"/>
                <w:szCs w:val="19"/>
              </w:rPr>
            </w:pPr>
            <w:r w:rsidDel="00000000" w:rsidR="00000000" w:rsidRPr="00000000">
              <w:rPr>
                <w:rFonts w:ascii="Arial" w:cs="Arial" w:eastAsia="Arial" w:hAnsi="Arial"/>
                <w:b w:val="1"/>
                <w:bCs w:val="1"/>
                <w:color w:val="1f2937"/>
                <w:sz w:val="19"/>
                <w:szCs w:val="19"/>
                <w:rtl w:val="0"/>
              </w:rPr>
              <w:t xml:space="preserve">Despliegue Continuo (CD)</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Webhooks automatizados en Render (con npx prisma db push hacia Neon) y publicación en Vercel Edge CDN</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Unicode MS" w:cs="Arial Unicode MS" w:eastAsia="Arial Unicode MS" w:hAnsi="Arial Unicode MS"/>
                <w:b w:val="0"/>
                <w:bCs w:val="0"/>
                <w:color w:val="1f2937"/>
                <w:sz w:val="19"/>
                <w:szCs w:val="19"/>
                <w:rtl w:val="0"/>
              </w:rPr>
              <w:t xml:space="preserve">✅ Funcionando</w:t>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color w:val="1f2937"/>
          <w:sz w:val="21"/>
          <w:szCs w:val="21"/>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rial" w:cs="Arial" w:eastAsia="Arial" w:hAnsi="Arial"/>
          <w:b w:val="0"/>
          <w:bCs w:val="0"/>
          <w:color w:val="1f2937"/>
          <w:sz w:val="12"/>
          <w:szCs w:val="12"/>
        </w:rPr>
      </w:pPr>
      <w:r w:rsidDel="00000000" w:rsidR="00000000" w:rsidRPr="00000000">
        <w:rPr>
          <w:rtl w:val="0"/>
        </w:rPr>
      </w:r>
    </w:p>
    <w:p w:rsidR="00000000" w:rsidDel="00000000" w:rsidP="00000000" w:rsidRDefault="00000000" w:rsidRPr="00000000" w14:paraId="00000066">
      <w:pPr>
        <w:pStyle w:val="Heading3"/>
        <w:spacing w:after="80" w:before="200" w:lineRule="auto"/>
        <w:rPr>
          <w:rFonts w:ascii="Arial" w:cs="Arial" w:eastAsia="Arial" w:hAnsi="Arial"/>
          <w:b w:val="1"/>
          <w:bCs w:val="1"/>
          <w:color w:val="334155"/>
          <w:sz w:val="21"/>
          <w:szCs w:val="21"/>
        </w:rPr>
      </w:pPr>
      <w:bookmarkStart w:colFirst="0" w:colLast="0" w:name="_ad8tvzkvznfj" w:id="11"/>
      <w:bookmarkEnd w:id="11"/>
      <w:r w:rsidDel="00000000" w:rsidR="00000000" w:rsidRPr="00000000">
        <w:rPr>
          <w:rFonts w:ascii="Arial" w:cs="Arial" w:eastAsia="Arial" w:hAnsi="Arial"/>
          <w:b w:val="1"/>
          <w:bCs w:val="1"/>
          <w:color w:val="334155"/>
          <w:sz w:val="21"/>
          <w:szCs w:val="21"/>
          <w:rtl w:val="0"/>
        </w:rPr>
        <w:t xml:space="preserve">Arquitectura Operativa del Flujo Automatizado (.github/workflows/ci.yml)</w:t>
      </w:r>
    </w:p>
    <w:p w:rsidR="00000000" w:rsidDel="00000000" w:rsidP="00000000" w:rsidRDefault="00000000" w:rsidRPr="00000000" w14:paraId="0000006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Fonts w:ascii="Arial" w:cs="Arial" w:eastAsia="Arial" w:hAnsi="Arial"/>
          <w:b w:val="1"/>
          <w:bCs w:val="1"/>
          <w:color w:val="1f2937"/>
          <w:sz w:val="21"/>
          <w:szCs w:val="21"/>
          <w:rtl w:val="0"/>
        </w:rPr>
        <w:t xml:space="preserve">1. Disparadores (Triggers): </w:t>
      </w:r>
      <w:r w:rsidDel="00000000" w:rsidR="00000000" w:rsidRPr="00000000">
        <w:rPr>
          <w:rFonts w:ascii="Arial" w:cs="Arial" w:eastAsia="Arial" w:hAnsi="Arial"/>
          <w:b w:val="0"/>
          <w:bCs w:val="0"/>
          <w:color w:val="1f2937"/>
          <w:sz w:val="21"/>
          <w:szCs w:val="21"/>
          <w:rtl w:val="0"/>
        </w:rPr>
        <w:t xml:space="preserve">Ejecución automática ante cada evento de push o pull_request dirigido hacia las ramas protegidas main y develop [9].</w:t>
      </w:r>
    </w:p>
    <w:p w:rsidR="00000000" w:rsidDel="00000000" w:rsidP="00000000" w:rsidRDefault="00000000" w:rsidRPr="00000000" w14:paraId="0000006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Fonts w:ascii="Arial" w:cs="Arial" w:eastAsia="Arial" w:hAnsi="Arial"/>
          <w:b w:val="1"/>
          <w:bCs w:val="1"/>
          <w:color w:val="1f2937"/>
          <w:sz w:val="21"/>
          <w:szCs w:val="21"/>
          <w:rtl w:val="0"/>
        </w:rPr>
        <w:t xml:space="preserve">2. Control de Calidad del Backend (backend-qa): </w:t>
      </w:r>
      <w:r w:rsidDel="00000000" w:rsidR="00000000" w:rsidRPr="00000000">
        <w:rPr>
          <w:rFonts w:ascii="Arial" w:cs="Arial" w:eastAsia="Arial" w:hAnsi="Arial"/>
          <w:b w:val="0"/>
          <w:bCs w:val="0"/>
          <w:color w:val="1f2937"/>
          <w:sz w:val="21"/>
          <w:szCs w:val="21"/>
          <w:rtl w:val="0"/>
        </w:rPr>
        <w:t xml:space="preserve">Aprovisiona el entorno Node.js LTS, instala dependencias limpias, genera el cliente tipado con npx prisma generate, ejecuta el análisis estático con Oxlint (npm run lint), corre las 18 suites de pruebas en Jest verificando la cobertura y compila la API con nest build.</w:t>
      </w:r>
    </w:p>
    <w:p w:rsidR="00000000" w:rsidDel="00000000" w:rsidP="00000000" w:rsidRDefault="00000000" w:rsidRPr="00000000" w14:paraId="0000006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Fonts w:ascii="Arial" w:cs="Arial" w:eastAsia="Arial" w:hAnsi="Arial"/>
          <w:b w:val="1"/>
          <w:bCs w:val="1"/>
          <w:color w:val="1f2937"/>
          <w:sz w:val="21"/>
          <w:szCs w:val="21"/>
          <w:rtl w:val="0"/>
        </w:rPr>
        <w:t xml:space="preserve">3. Control de Calidad del Frontend (frontend-qa): </w:t>
      </w:r>
      <w:r w:rsidDel="00000000" w:rsidR="00000000" w:rsidRPr="00000000">
        <w:rPr>
          <w:rFonts w:ascii="Arial" w:cs="Arial" w:eastAsia="Arial" w:hAnsi="Arial"/>
          <w:b w:val="0"/>
          <w:bCs w:val="0"/>
          <w:color w:val="1f2937"/>
          <w:sz w:val="21"/>
          <w:szCs w:val="21"/>
          <w:rtl w:val="0"/>
        </w:rPr>
        <w:t xml:space="preserve">Instala las dependencias del cliente y compila la aplicación Angular 22 en modo Ahead-of-Time (AOT), comprobando la integridad del tipado estricto en plantillas y componentes.</w:t>
      </w:r>
    </w:p>
    <w:p w:rsidR="00000000" w:rsidDel="00000000" w:rsidP="00000000" w:rsidRDefault="00000000" w:rsidRPr="00000000" w14:paraId="0000006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Fonts w:ascii="Arial" w:cs="Arial" w:eastAsia="Arial" w:hAnsi="Arial"/>
          <w:b w:val="1"/>
          <w:bCs w:val="1"/>
          <w:color w:val="1f2937"/>
          <w:sz w:val="21"/>
          <w:szCs w:val="21"/>
          <w:rtl w:val="0"/>
        </w:rPr>
        <w:t xml:space="preserve">4. Análisis Semántico SAST con CodeQL (security-codeql): </w:t>
      </w:r>
      <w:r w:rsidDel="00000000" w:rsidR="00000000" w:rsidRPr="00000000">
        <w:rPr>
          <w:rFonts w:ascii="Arial" w:cs="Arial" w:eastAsia="Arial" w:hAnsi="Arial"/>
          <w:b w:val="0"/>
          <w:bCs w:val="0"/>
          <w:color w:val="1f2937"/>
          <w:sz w:val="21"/>
          <w:szCs w:val="21"/>
          <w:rtl w:val="0"/>
        </w:rPr>
        <w:t xml:space="preserve">Construye el grafo de flujo de datos del código TypeScript mediante GitHub CodeQL para identificar vulnerabilidades de inyección o defectos de autorización antes de aprobar cualquier fusión de ramas [9].</w:t>
      </w:r>
    </w:p>
    <w:p w:rsidR="00000000" w:rsidDel="00000000" w:rsidP="00000000" w:rsidRDefault="00000000" w:rsidRPr="00000000" w14:paraId="0000006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pPr>
      <w:r w:rsidDel="00000000" w:rsidR="00000000" w:rsidRPr="00000000">
        <w:rPr>
          <w:rFonts w:ascii="Arial" w:cs="Arial" w:eastAsia="Arial" w:hAnsi="Arial"/>
          <w:b w:val="1"/>
          <w:bCs w:val="1"/>
          <w:color w:val="1f2937"/>
          <w:sz w:val="21"/>
          <w:szCs w:val="21"/>
          <w:rtl w:val="0"/>
        </w:rPr>
        <w:t xml:space="preserve">5. Entrega y Despliegue Continuo (CD): </w:t>
      </w:r>
      <w:r w:rsidDel="00000000" w:rsidR="00000000" w:rsidRPr="00000000">
        <w:rPr>
          <w:rFonts w:ascii="Arial" w:cs="Arial" w:eastAsia="Arial" w:hAnsi="Arial"/>
          <w:b w:val="0"/>
          <w:bCs w:val="0"/>
          <w:color w:val="1f2937"/>
          <w:sz w:val="21"/>
          <w:szCs w:val="21"/>
          <w:rtl w:val="0"/>
        </w:rPr>
        <w:t xml:space="preserve">Superados los controles en develop, Render despliega el servicio backend sincronizando el esquema en Neon mediante npx prisma db push, mientras Vercel publica la SPA optimizada en su red global.</w:t>
      </w:r>
    </w:p>
    <w:p w:rsidR="00000000" w:rsidDel="00000000" w:rsidP="00000000" w:rsidRDefault="00000000" w:rsidRPr="00000000" w14:paraId="0000006C">
      <w:pPr>
        <w:pStyle w:val="Heading3"/>
        <w:spacing w:after="80" w:before="200" w:lineRule="auto"/>
        <w:rPr>
          <w:rFonts w:ascii="Arial" w:cs="Arial" w:eastAsia="Arial" w:hAnsi="Arial"/>
          <w:b w:val="1"/>
          <w:bCs w:val="1"/>
          <w:color w:val="334155"/>
          <w:sz w:val="21"/>
          <w:szCs w:val="21"/>
        </w:rPr>
      </w:pPr>
      <w:bookmarkStart w:colFirst="0" w:colLast="0" w:name="_q9m0s7kbxa3o" w:id="12"/>
      <w:bookmarkEnd w:id="12"/>
      <w:r w:rsidDel="00000000" w:rsidR="00000000" w:rsidRPr="00000000">
        <w:rPr>
          <w:rFonts w:ascii="Arial" w:cs="Arial" w:eastAsia="Arial" w:hAnsi="Arial"/>
          <w:b w:val="1"/>
          <w:bCs w:val="1"/>
          <w:color w:val="334155"/>
          <w:sz w:val="21"/>
          <w:szCs w:val="21"/>
          <w:rtl w:val="0"/>
        </w:rPr>
        <w:t xml:space="preserve">Verificación de Pipeline CI/CD: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Flujo de trabajo en GitHub Actions creado, activo y vinculado al repositorio.</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Compilación automatizada (Build) ejecutándose sin errores en cada commit.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Batería de pruebas unitarias integrada como requisito obligatorio del pipeline.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Análisis estático de código y escaneo de seguridad configurados.</w:t>
      </w:r>
    </w:p>
    <w:p w:rsidR="00000000" w:rsidDel="00000000" w:rsidP="00000000" w:rsidRDefault="00000000" w:rsidRPr="00000000" w14:paraId="00000071">
      <w:pPr>
        <w:pStyle w:val="Heading2"/>
        <w:spacing w:after="120" w:before="280" w:lineRule="auto"/>
        <w:rPr>
          <w:rFonts w:ascii="Arial" w:cs="Arial" w:eastAsia="Arial" w:hAnsi="Arial"/>
          <w:b w:val="1"/>
          <w:bCs w:val="1"/>
          <w:color w:val="1e40af"/>
          <w:sz w:val="23"/>
          <w:szCs w:val="23"/>
        </w:rPr>
      </w:pPr>
      <w:bookmarkStart w:colFirst="0" w:colLast="0" w:name="_q0586q7a1mcu" w:id="13"/>
      <w:bookmarkEnd w:id="13"/>
      <w:r w:rsidDel="00000000" w:rsidR="00000000" w:rsidRPr="00000000">
        <w:rPr>
          <w:rFonts w:ascii="Arial" w:cs="Arial" w:eastAsia="Arial" w:hAnsi="Arial"/>
          <w:b w:val="1"/>
          <w:bCs w:val="1"/>
          <w:color w:val="1e40af"/>
          <w:sz w:val="23"/>
          <w:szCs w:val="23"/>
          <w:rtl w:val="0"/>
        </w:rPr>
        <w:t xml:space="preserve">4.2. Métricas de Análisis Estático de Calidad</w:t>
      </w:r>
    </w:p>
    <w:tbl>
      <w:tblPr>
        <w:tblStyle w:val="Table4"/>
        <w:tblW w:w="960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2680"/>
        <w:gridCol w:w="6920"/>
        <w:tblGridChange w:id="0">
          <w:tblGrid>
            <w:gridCol w:w="2680"/>
            <w:gridCol w:w="6920"/>
          </w:tblGrid>
        </w:tblGridChange>
      </w:tblGrid>
      <w:tr>
        <w:trPr>
          <w:cantSplit w:val="0"/>
          <w:tblHeader w:val="0"/>
        </w:trPr>
        <w:tc>
          <w:tcPr>
            <w:shd w:fill="1b365d" w:val="clear"/>
            <w:tcMar>
              <w:top w:w="120.0" w:type="dxa"/>
              <w:left w:w="160.0" w:type="dxa"/>
              <w:bottom w:w="120.0" w:type="dxa"/>
              <w:right w:w="16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Métrica de Calidad Evaluada</w:t>
            </w:r>
          </w:p>
        </w:tc>
        <w:tc>
          <w:tcPr>
            <w:shd w:fill="1b365d" w:val="clear"/>
            <w:tcMar>
              <w:top w:w="120.0" w:type="dxa"/>
              <w:left w:w="160.0" w:type="dxa"/>
              <w:bottom w:w="120.0" w:type="dxa"/>
              <w:right w:w="16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Meta Exigida vs. Resultado Obtenido en el Proyecto</w:t>
            </w:r>
          </w:p>
        </w:tc>
      </w:tr>
      <w:tr>
        <w:trPr>
          <w:cantSplit w:val="0"/>
          <w:tblHeader w:val="0"/>
        </w:trPr>
        <w:tc>
          <w:tcPr>
            <w:shd w:fill="f1f5f9" w:val="clear"/>
            <w:tcMar>
              <w:top w:w="120.0" w:type="dxa"/>
              <w:left w:w="160.0" w:type="dxa"/>
              <w:bottom w:w="120.0" w:type="dxa"/>
              <w:right w:w="16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b365d"/>
                <w:sz w:val="19"/>
                <w:szCs w:val="19"/>
              </w:rPr>
            </w:pPr>
            <w:r w:rsidDel="00000000" w:rsidR="00000000" w:rsidRPr="00000000">
              <w:rPr>
                <w:rFonts w:ascii="Arial" w:cs="Arial" w:eastAsia="Arial" w:hAnsi="Arial"/>
                <w:b w:val="1"/>
                <w:bCs w:val="1"/>
                <w:color w:val="1b365d"/>
                <w:sz w:val="19"/>
                <w:szCs w:val="19"/>
                <w:rtl w:val="0"/>
              </w:rPr>
              <w:t xml:space="preserve">Cobertura de Pruebas (Coverage)</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78.4% de cobertura global alcanzada (supera el umbral mínimo exigido del 70.0% en los módulos críticos de Caja, Pedidos, Domicilios, Facturación y Auth).</w:t>
            </w:r>
          </w:p>
        </w:tc>
      </w:tr>
      <w:tr>
        <w:trPr>
          <w:cantSplit w:val="0"/>
          <w:tblHeader w:val="0"/>
        </w:trPr>
        <w:tc>
          <w:tcPr>
            <w:shd w:fill="f1f5f9" w:val="clear"/>
            <w:tcMar>
              <w:top w:w="120.0" w:type="dxa"/>
              <w:left w:w="160.0" w:type="dxa"/>
              <w:bottom w:w="120.0" w:type="dxa"/>
              <w:right w:w="16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b365d"/>
                <w:sz w:val="19"/>
                <w:szCs w:val="19"/>
              </w:rPr>
            </w:pPr>
            <w:r w:rsidDel="00000000" w:rsidR="00000000" w:rsidRPr="00000000">
              <w:rPr>
                <w:rFonts w:ascii="Arial" w:cs="Arial" w:eastAsia="Arial" w:hAnsi="Arial"/>
                <w:b w:val="1"/>
                <w:bCs w:val="1"/>
                <w:color w:val="1b365d"/>
                <w:sz w:val="19"/>
                <w:szCs w:val="19"/>
                <w:rtl w:val="0"/>
              </w:rPr>
              <w:t xml:space="preserve">Code Smells</w:t>
            </w:r>
          </w:p>
        </w:tc>
        <w:tc>
          <w:tcPr>
            <w:shd w:fill="f8fafc" w:val="clear"/>
            <w:tcMar>
              <w:top w:w="120.0" w:type="dxa"/>
              <w:left w:w="160.0" w:type="dxa"/>
              <w:bottom w:w="120.0" w:type="dxa"/>
              <w:right w:w="16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0 Bloqueantes o Críticos (verificado mediante Oxlint sobre 113 archivos analizados en 195 ms con TypeScript Strict Mode activo).</w:t>
            </w:r>
          </w:p>
        </w:tc>
      </w:tr>
      <w:tr>
        <w:trPr>
          <w:cantSplit w:val="0"/>
          <w:tblHeader w:val="0"/>
        </w:trPr>
        <w:tc>
          <w:tcPr>
            <w:shd w:fill="f1f5f9" w:val="clear"/>
            <w:tcMar>
              <w:top w:w="120.0" w:type="dxa"/>
              <w:left w:w="160.0" w:type="dxa"/>
              <w:bottom w:w="120.0" w:type="dxa"/>
              <w:right w:w="16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b365d"/>
                <w:sz w:val="19"/>
                <w:szCs w:val="19"/>
              </w:rPr>
            </w:pPr>
            <w:r w:rsidDel="00000000" w:rsidR="00000000" w:rsidRPr="00000000">
              <w:rPr>
                <w:rFonts w:ascii="Arial" w:cs="Arial" w:eastAsia="Arial" w:hAnsi="Arial"/>
                <w:b w:val="1"/>
                <w:bCs w:val="1"/>
                <w:color w:val="1b365d"/>
                <w:sz w:val="19"/>
                <w:szCs w:val="19"/>
                <w:rtl w:val="0"/>
              </w:rPr>
              <w:t xml:space="preserve">Defectos Funcionales (Bugs)</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0 Bugs de severidad alta o media detectados en la inspección estática y semántica del código fuente.</w:t>
            </w:r>
          </w:p>
        </w:tc>
      </w:tr>
      <w:tr>
        <w:trPr>
          <w:cantSplit w:val="0"/>
          <w:tblHeader w:val="0"/>
        </w:trPr>
        <w:tc>
          <w:tcPr>
            <w:shd w:fill="f1f5f9" w:val="clear"/>
            <w:tcMar>
              <w:top w:w="120.0" w:type="dxa"/>
              <w:left w:w="160.0" w:type="dxa"/>
              <w:bottom w:w="120.0" w:type="dxa"/>
              <w:right w:w="16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b365d"/>
                <w:sz w:val="19"/>
                <w:szCs w:val="19"/>
              </w:rPr>
            </w:pPr>
            <w:r w:rsidDel="00000000" w:rsidR="00000000" w:rsidRPr="00000000">
              <w:rPr>
                <w:rFonts w:ascii="Arial" w:cs="Arial" w:eastAsia="Arial" w:hAnsi="Arial"/>
                <w:b w:val="1"/>
                <w:bCs w:val="1"/>
                <w:color w:val="1b365d"/>
                <w:sz w:val="19"/>
                <w:szCs w:val="19"/>
                <w:rtl w:val="0"/>
              </w:rPr>
              <w:t xml:space="preserve">Vulnerabilidades en Dependencias</w:t>
            </w:r>
          </w:p>
        </w:tc>
        <w:tc>
          <w:tcPr>
            <w:shd w:fill="f8fafc" w:val="clear"/>
            <w:tcMar>
              <w:top w:w="120.0" w:type="dxa"/>
              <w:left w:w="160.0" w:type="dxa"/>
              <w:bottom w:w="120.0" w:type="dxa"/>
              <w:right w:w="16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0 Vulnerabilidades en paquetes de terceros (auditado con npm audit e integridad criptográfica SHA-512 en package-lock.json).</w:t>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e40af"/>
          <w:sz w:val="23"/>
          <w:szCs w:val="23"/>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rial" w:cs="Arial" w:eastAsia="Arial" w:hAnsi="Arial"/>
          <w:b w:val="1"/>
          <w:bCs w:val="1"/>
          <w:color w:val="1e40af"/>
          <w:sz w:val="12"/>
          <w:szCs w:val="12"/>
        </w:rPr>
      </w:pPr>
      <w:r w:rsidDel="00000000" w:rsidR="00000000" w:rsidRPr="00000000">
        <w:rPr>
          <w:rtl w:val="0"/>
        </w:rPr>
      </w:r>
    </w:p>
    <w:p w:rsidR="00000000" w:rsidDel="00000000" w:rsidP="00000000" w:rsidRDefault="00000000" w:rsidRPr="00000000" w14:paraId="0000007E">
      <w:pPr>
        <w:pStyle w:val="Heading3"/>
        <w:spacing w:after="80" w:before="200" w:lineRule="auto"/>
        <w:rPr>
          <w:rFonts w:ascii="Arial" w:cs="Arial" w:eastAsia="Arial" w:hAnsi="Arial"/>
          <w:b w:val="1"/>
          <w:bCs w:val="1"/>
          <w:color w:val="334155"/>
          <w:sz w:val="21"/>
          <w:szCs w:val="21"/>
        </w:rPr>
      </w:pPr>
      <w:bookmarkStart w:colFirst="0" w:colLast="0" w:name="_fjpug6x9qahy" w:id="14"/>
      <w:bookmarkEnd w:id="14"/>
      <w:r w:rsidDel="00000000" w:rsidR="00000000" w:rsidRPr="00000000">
        <w:rPr>
          <w:rFonts w:ascii="Arial" w:cs="Arial" w:eastAsia="Arial" w:hAnsi="Arial"/>
          <w:b w:val="1"/>
          <w:bCs w:val="1"/>
          <w:color w:val="334155"/>
          <w:sz w:val="21"/>
          <w:szCs w:val="21"/>
          <w:rtl w:val="0"/>
        </w:rPr>
        <w:t xml:space="preserve">Verificación de Calidad de Código:</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Cobertura de pruebas automatizadas superior al 70% (78.4% verificado).</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Code Smells inspeccionados, corregidos y documentados.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Herramientas de análisis estático (Oxlint y GitHub CodeQL) integradas en el pipeline CI/CD.</w:t>
      </w:r>
    </w:p>
    <w:p w:rsidR="00000000" w:rsidDel="00000000" w:rsidP="00000000" w:rsidRDefault="00000000" w:rsidRPr="00000000" w14:paraId="00000082">
      <w:pPr>
        <w:pStyle w:val="Heading2"/>
        <w:spacing w:after="120" w:before="280" w:lineRule="auto"/>
        <w:rPr>
          <w:rFonts w:ascii="Arial" w:cs="Arial" w:eastAsia="Arial" w:hAnsi="Arial"/>
          <w:b w:val="1"/>
          <w:bCs w:val="1"/>
          <w:color w:val="1e40af"/>
          <w:sz w:val="23"/>
          <w:szCs w:val="23"/>
        </w:rPr>
      </w:pPr>
      <w:bookmarkStart w:colFirst="0" w:colLast="0" w:name="_z4x4enjmue7a" w:id="15"/>
      <w:bookmarkEnd w:id="15"/>
      <w:r w:rsidDel="00000000" w:rsidR="00000000" w:rsidRPr="00000000">
        <w:rPr>
          <w:rFonts w:ascii="Arial" w:cs="Arial" w:eastAsia="Arial" w:hAnsi="Arial"/>
          <w:b w:val="1"/>
          <w:bCs w:val="1"/>
          <w:color w:val="1e40af"/>
          <w:sz w:val="23"/>
          <w:szCs w:val="23"/>
          <w:rtl w:val="0"/>
        </w:rPr>
        <w:t xml:space="preserve">4.3. Seguridad Aplicada: Estándar OWASP Top 10:2025 y Auditoría DAST</w:t>
      </w:r>
    </w:p>
    <w:tbl>
      <w:tblPr>
        <w:tblStyle w:val="Table5"/>
        <w:tblW w:w="960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2480"/>
        <w:gridCol w:w="7120"/>
        <w:tblGridChange w:id="0">
          <w:tblGrid>
            <w:gridCol w:w="2480"/>
            <w:gridCol w:w="7120"/>
          </w:tblGrid>
        </w:tblGridChange>
      </w:tblGrid>
      <w:tr>
        <w:trPr>
          <w:cantSplit w:val="0"/>
          <w:tblHeader w:val="0"/>
        </w:trPr>
        <w:tc>
          <w:tcPr>
            <w:shd w:fill="1b365d" w:val="clear"/>
            <w:tcMar>
              <w:top w:w="120.0" w:type="dxa"/>
              <w:left w:w="160.0" w:type="dxa"/>
              <w:bottom w:w="120.0" w:type="dxa"/>
              <w:right w:w="16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Vector de Seguridad Evaluado</w:t>
            </w:r>
          </w:p>
        </w:tc>
        <w:tc>
          <w:tcPr>
            <w:shd w:fill="1b365d" w:val="clear"/>
            <w:tcMar>
              <w:top w:w="120.0" w:type="dxa"/>
              <w:left w:w="160.0" w:type="dxa"/>
              <w:bottom w:w="120.0" w:type="dxa"/>
              <w:right w:w="16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Estado y Mecanismo Técnico de Mitigación Implementado</w:t>
            </w:r>
          </w:p>
        </w:tc>
      </w:tr>
      <w:tr>
        <w:trPr>
          <w:cantSplit w:val="0"/>
          <w:tblHeader w:val="0"/>
        </w:trPr>
        <w:tc>
          <w:tcPr>
            <w:shd w:fill="f1f5f9" w:val="clear"/>
            <w:tcMar>
              <w:top w:w="120.0" w:type="dxa"/>
              <w:left w:w="160.0" w:type="dxa"/>
              <w:bottom w:w="120.0" w:type="dxa"/>
              <w:right w:w="16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b365d"/>
                <w:sz w:val="19"/>
                <w:szCs w:val="19"/>
              </w:rPr>
            </w:pPr>
            <w:r w:rsidDel="00000000" w:rsidR="00000000" w:rsidRPr="00000000">
              <w:rPr>
                <w:rFonts w:ascii="Arial" w:cs="Arial" w:eastAsia="Arial" w:hAnsi="Arial"/>
                <w:b w:val="1"/>
                <w:bCs w:val="1"/>
                <w:color w:val="1b365d"/>
                <w:sz w:val="19"/>
                <w:szCs w:val="19"/>
                <w:rtl w:val="0"/>
              </w:rPr>
              <w:t xml:space="preserve">SQL Injection (Inyección SQL)</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 Verificado — 100% de las consultas son parametrizadas y tipadas a través de Prisma ORM [5]; cero consultas SQL crudas o concatenadas.</w:t>
            </w:r>
          </w:p>
        </w:tc>
      </w:tr>
      <w:tr>
        <w:trPr>
          <w:cantSplit w:val="0"/>
          <w:tblHeader w:val="0"/>
        </w:trPr>
        <w:tc>
          <w:tcPr>
            <w:shd w:fill="f1f5f9" w:val="clear"/>
            <w:tcMar>
              <w:top w:w="120.0" w:type="dxa"/>
              <w:left w:w="160.0" w:type="dxa"/>
              <w:bottom w:w="120.0" w:type="dxa"/>
              <w:right w:w="16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b365d"/>
                <w:sz w:val="19"/>
                <w:szCs w:val="19"/>
              </w:rPr>
            </w:pPr>
            <w:r w:rsidDel="00000000" w:rsidR="00000000" w:rsidRPr="00000000">
              <w:rPr>
                <w:rFonts w:ascii="Arial" w:cs="Arial" w:eastAsia="Arial" w:hAnsi="Arial"/>
                <w:b w:val="1"/>
                <w:bCs w:val="1"/>
                <w:color w:val="1b365d"/>
                <w:sz w:val="19"/>
                <w:szCs w:val="19"/>
                <w:rtl w:val="0"/>
              </w:rPr>
              <w:t xml:space="preserve">XSS (Cross-Site Scripting)</w:t>
            </w:r>
          </w:p>
        </w:tc>
        <w:tc>
          <w:tcPr>
            <w:shd w:fill="f8fafc" w:val="clear"/>
            <w:tcMar>
              <w:top w:w="120.0" w:type="dxa"/>
              <w:left w:w="160.0" w:type="dxa"/>
              <w:bottom w:w="120.0" w:type="dxa"/>
              <w:right w:w="16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 Verificado — Sanitización contextual nativa del DOM en Angular 22 [2] e interpolación segura de variables en plantillas.</w:t>
            </w:r>
          </w:p>
        </w:tc>
      </w:tr>
      <w:tr>
        <w:trPr>
          <w:cantSplit w:val="0"/>
          <w:tblHeader w:val="0"/>
        </w:trPr>
        <w:tc>
          <w:tcPr>
            <w:shd w:fill="f1f5f9" w:val="clear"/>
            <w:tcMar>
              <w:top w:w="120.0" w:type="dxa"/>
              <w:left w:w="160.0" w:type="dxa"/>
              <w:bottom w:w="120.0" w:type="dxa"/>
              <w:right w:w="16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b365d"/>
                <w:sz w:val="19"/>
                <w:szCs w:val="19"/>
              </w:rPr>
            </w:pPr>
            <w:r w:rsidDel="00000000" w:rsidR="00000000" w:rsidRPr="00000000">
              <w:rPr>
                <w:rFonts w:ascii="Arial" w:cs="Arial" w:eastAsia="Arial" w:hAnsi="Arial"/>
                <w:b w:val="1"/>
                <w:bCs w:val="1"/>
                <w:color w:val="1b365d"/>
                <w:sz w:val="19"/>
                <w:szCs w:val="19"/>
                <w:rtl w:val="0"/>
              </w:rPr>
              <w:t xml:space="preserve">CSRF (Cross-Site Request Forgery)</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 Verificado — Arquitectura REST completamente stateless autenticada mediante cabecera explícita Authorization: Bearer &lt;JWT&gt;, sin cookies de sesión.</w:t>
            </w:r>
          </w:p>
        </w:tc>
      </w:tr>
      <w:tr>
        <w:trPr>
          <w:cantSplit w:val="0"/>
          <w:tblHeader w:val="0"/>
        </w:trPr>
        <w:tc>
          <w:tcPr>
            <w:shd w:fill="f1f5f9" w:val="clear"/>
            <w:tcMar>
              <w:top w:w="120.0" w:type="dxa"/>
              <w:left w:w="160.0" w:type="dxa"/>
              <w:bottom w:w="120.0" w:type="dxa"/>
              <w:right w:w="16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b365d"/>
                <w:sz w:val="19"/>
                <w:szCs w:val="19"/>
              </w:rPr>
            </w:pPr>
            <w:r w:rsidDel="00000000" w:rsidR="00000000" w:rsidRPr="00000000">
              <w:rPr>
                <w:rFonts w:ascii="Arial" w:cs="Arial" w:eastAsia="Arial" w:hAnsi="Arial"/>
                <w:b w:val="1"/>
                <w:bCs w:val="1"/>
                <w:color w:val="1b365d"/>
                <w:sz w:val="19"/>
                <w:szCs w:val="19"/>
                <w:rtl w:val="0"/>
              </w:rPr>
              <w:t xml:space="preserve">Autenticación Robusta</w:t>
            </w:r>
          </w:p>
        </w:tc>
        <w:tc>
          <w:tcPr>
            <w:shd w:fill="f8fafc" w:val="clear"/>
            <w:tcMar>
              <w:top w:w="120.0" w:type="dxa"/>
              <w:left w:w="160.0" w:type="dxa"/>
              <w:bottom w:w="120.0" w:type="dxa"/>
              <w:right w:w="16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 Verificado — Derivación de contraseñas con Argon2id y sal aleatoria [6], complementada con validación asimétrica RSA para tokens de Google OAuth 2.0.</w:t>
            </w:r>
          </w:p>
        </w:tc>
      </w:tr>
      <w:tr>
        <w:trPr>
          <w:cantSplit w:val="0"/>
          <w:tblHeader w:val="0"/>
        </w:trPr>
        <w:tc>
          <w:tcPr>
            <w:shd w:fill="f1f5f9" w:val="clear"/>
            <w:tcMar>
              <w:top w:w="120.0" w:type="dxa"/>
              <w:left w:w="160.0" w:type="dxa"/>
              <w:bottom w:w="120.0" w:type="dxa"/>
              <w:right w:w="16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b365d"/>
                <w:sz w:val="19"/>
                <w:szCs w:val="19"/>
              </w:rPr>
            </w:pPr>
            <w:r w:rsidDel="00000000" w:rsidR="00000000" w:rsidRPr="00000000">
              <w:rPr>
                <w:rFonts w:ascii="Arial" w:cs="Arial" w:eastAsia="Arial" w:hAnsi="Arial"/>
                <w:b w:val="1"/>
                <w:bCs w:val="1"/>
                <w:color w:val="1b365d"/>
                <w:sz w:val="19"/>
                <w:szCs w:val="19"/>
                <w:rtl w:val="0"/>
              </w:rPr>
              <w:t xml:space="preserve">Autorización y Control de Acceso</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 Verificado — Control de acceso basado en roles (RBAC) mediante RolesGuard y validación de titularidad de recursos contra ataques IDOR.</w:t>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e40af"/>
          <w:sz w:val="23"/>
          <w:szCs w:val="23"/>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rial" w:cs="Arial" w:eastAsia="Arial" w:hAnsi="Arial"/>
          <w:b w:val="1"/>
          <w:bCs w:val="1"/>
          <w:color w:val="1e40af"/>
          <w:sz w:val="12"/>
          <w:szCs w:val="12"/>
        </w:rPr>
      </w:pPr>
      <w:r w:rsidDel="00000000" w:rsidR="00000000" w:rsidRPr="00000000">
        <w:rPr>
          <w:rtl w:val="0"/>
        </w:rPr>
      </w:r>
    </w:p>
    <w:p w:rsidR="00000000" w:rsidDel="00000000" w:rsidP="00000000" w:rsidRDefault="00000000" w:rsidRPr="00000000" w14:paraId="00000091">
      <w:pPr>
        <w:pStyle w:val="Heading3"/>
        <w:spacing w:after="80" w:before="200" w:lineRule="auto"/>
        <w:rPr>
          <w:rFonts w:ascii="Arial" w:cs="Arial" w:eastAsia="Arial" w:hAnsi="Arial"/>
          <w:b w:val="1"/>
          <w:bCs w:val="1"/>
          <w:color w:val="334155"/>
          <w:sz w:val="21"/>
          <w:szCs w:val="21"/>
        </w:rPr>
      </w:pPr>
      <w:bookmarkStart w:colFirst="0" w:colLast="0" w:name="_mme39lbp9fn" w:id="16"/>
      <w:bookmarkEnd w:id="16"/>
      <w:r w:rsidDel="00000000" w:rsidR="00000000" w:rsidRPr="00000000">
        <w:rPr>
          <w:rFonts w:ascii="Arial" w:cs="Arial" w:eastAsia="Arial" w:hAnsi="Arial"/>
          <w:b w:val="1"/>
          <w:bCs w:val="1"/>
          <w:color w:val="334155"/>
          <w:sz w:val="21"/>
          <w:szCs w:val="21"/>
          <w:rtl w:val="0"/>
        </w:rPr>
        <w:t xml:space="preserve">Matriz de Evidencia Técnica frente al Estándar OWASP Top 10 (2025) y OWASP ZAP</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w:cs="Arial" w:eastAsia="Arial" w:hAnsi="Arial"/>
          <w:b w:val="0"/>
          <w:bCs w:val="0"/>
          <w:color w:val="1f2937"/>
          <w:sz w:val="21"/>
          <w:szCs w:val="21"/>
        </w:rPr>
      </w:pPr>
      <w:r w:rsidDel="00000000" w:rsidR="00000000" w:rsidRPr="00000000">
        <w:rPr>
          <w:rFonts w:ascii="Arial" w:cs="Arial" w:eastAsia="Arial" w:hAnsi="Arial"/>
          <w:b w:val="0"/>
          <w:bCs w:val="0"/>
          <w:color w:val="1f2937"/>
          <w:sz w:val="21"/>
          <w:szCs w:val="21"/>
          <w:rtl w:val="0"/>
        </w:rPr>
        <w:t xml:space="preserve">La seguridad de MesaLista se diseñó de forma transversal, respaldada por una suite automatizada de pruebas unitarias de cumplimiento (test/owasp-compliance.spec.ts) y pruebas dinámicas de penetración (DAST) ejecutadas con OWASP ZAP (Zed Attack Proxy) bajo los lineamientos de OWASP Top 10:2025 [10]:</w:t>
      </w:r>
    </w:p>
    <w:p w:rsidR="00000000" w:rsidDel="00000000" w:rsidP="00000000" w:rsidRDefault="00000000" w:rsidRPr="00000000" w14:paraId="0000009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Fonts w:ascii="Arial" w:cs="Arial" w:eastAsia="Arial" w:hAnsi="Arial"/>
          <w:b w:val="1"/>
          <w:bCs w:val="1"/>
          <w:color w:val="1f2937"/>
          <w:sz w:val="21"/>
          <w:szCs w:val="21"/>
          <w:rtl w:val="0"/>
        </w:rPr>
        <w:t xml:space="preserve">A01:2025 – Broken Access Control (Control de Acceso e IDOR): </w:t>
      </w:r>
      <w:r w:rsidDel="00000000" w:rsidR="00000000" w:rsidRPr="00000000">
        <w:rPr>
          <w:rFonts w:ascii="Arial" w:cs="Arial" w:eastAsia="Arial" w:hAnsi="Arial"/>
          <w:b w:val="0"/>
          <w:bCs w:val="0"/>
          <w:color w:val="1f2937"/>
          <w:sz w:val="21"/>
          <w:szCs w:val="21"/>
          <w:rtl w:val="0"/>
        </w:rPr>
        <w:t xml:space="preserve">Se previene el acceso horizontal no autorizado comprobando que los usuarios con rol cliente solo puedan consultar sus propios pedidos (pedido.id_usuario === usuarioAuth.id_usuario), denegando intentos de intrusión con HTTP 403 Forbidden. Los endpoints administrativos están protegidos mediante decoradores declarativos @Roles().</w:t>
      </w:r>
    </w:p>
    <w:p w:rsidR="00000000" w:rsidDel="00000000" w:rsidP="00000000" w:rsidRDefault="00000000" w:rsidRPr="00000000" w14:paraId="0000009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Fonts w:ascii="Arial" w:cs="Arial" w:eastAsia="Arial" w:hAnsi="Arial"/>
          <w:b w:val="1"/>
          <w:bCs w:val="1"/>
          <w:color w:val="1f2937"/>
          <w:sz w:val="21"/>
          <w:szCs w:val="21"/>
          <w:rtl w:val="0"/>
        </w:rPr>
        <w:t xml:space="preserve">A02:2025 – Security Misconfiguration (Configuración Insegura): </w:t>
      </w:r>
      <w:r w:rsidDel="00000000" w:rsidR="00000000" w:rsidRPr="00000000">
        <w:rPr>
          <w:rFonts w:ascii="Arial" w:cs="Arial" w:eastAsia="Arial" w:hAnsi="Arial"/>
          <w:b w:val="0"/>
          <w:bCs w:val="0"/>
          <w:color w:val="1f2937"/>
          <w:sz w:val="21"/>
          <w:szCs w:val="21"/>
          <w:rtl w:val="0"/>
        </w:rPr>
        <w:t xml:space="preserve">Implementación del middleware Helmet para forzar cabeceras HTTP de defensa en profundidad (X-Frame-Options: DENY, X-Content-Type-Options: nosniff, Strict-Transport-Security). Configuración restrictiva de CORS y limitación del payload JSON a 2 MB para prevenir ataques de denegación de servicio (DoS).</w:t>
      </w:r>
    </w:p>
    <w:p w:rsidR="00000000" w:rsidDel="00000000" w:rsidP="00000000" w:rsidRDefault="00000000" w:rsidRPr="00000000" w14:paraId="0000009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Fonts w:ascii="Arial" w:cs="Arial" w:eastAsia="Arial" w:hAnsi="Arial"/>
          <w:b w:val="1"/>
          <w:bCs w:val="1"/>
          <w:color w:val="1f2937"/>
          <w:sz w:val="21"/>
          <w:szCs w:val="21"/>
          <w:rtl w:val="0"/>
        </w:rPr>
        <w:t xml:space="preserve">A03:2025 – Software Supply Chain Failures (Cadena de Suministro): </w:t>
      </w:r>
      <w:r w:rsidDel="00000000" w:rsidR="00000000" w:rsidRPr="00000000">
        <w:rPr>
          <w:rFonts w:ascii="Arial" w:cs="Arial" w:eastAsia="Arial" w:hAnsi="Arial"/>
          <w:b w:val="0"/>
          <w:bCs w:val="0"/>
          <w:color w:val="1f2937"/>
          <w:sz w:val="21"/>
          <w:szCs w:val="21"/>
          <w:rtl w:val="0"/>
        </w:rPr>
        <w:t xml:space="preserve">Auditoría continua del árbol de paquetes de Node.js mediante npm audit, depuración de dependencias huérfanas y bloqueo determinista de versiones con sumas de verificación SHA-512 en package-lock.json.</w:t>
      </w:r>
    </w:p>
    <w:p w:rsidR="00000000" w:rsidDel="00000000" w:rsidP="00000000" w:rsidRDefault="00000000" w:rsidRPr="00000000" w14:paraId="0000009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Fonts w:ascii="Arial" w:cs="Arial" w:eastAsia="Arial" w:hAnsi="Arial"/>
          <w:b w:val="1"/>
          <w:bCs w:val="1"/>
          <w:color w:val="1f2937"/>
          <w:sz w:val="21"/>
          <w:szCs w:val="21"/>
          <w:rtl w:val="0"/>
        </w:rPr>
        <w:t xml:space="preserve">A04:2025 – Cryptographic Failures (Fallas Criptográficas): </w:t>
      </w:r>
      <w:r w:rsidDel="00000000" w:rsidR="00000000" w:rsidRPr="00000000">
        <w:rPr>
          <w:rFonts w:ascii="Arial" w:cs="Arial" w:eastAsia="Arial" w:hAnsi="Arial"/>
          <w:b w:val="0"/>
          <w:bCs w:val="0"/>
          <w:color w:val="1f2937"/>
          <w:sz w:val="21"/>
          <w:szCs w:val="21"/>
          <w:rtl w:val="0"/>
        </w:rPr>
        <w:t xml:space="preserve">Almacenamiento de contraseñas del personal mediante Argon2id (memoryCost: 65536, timeCost: 3, parallelism: 4) [6], exclusión garantizada del hash de contraseña en los DTOs de respuesta y transporte cifrado bajo TLS 1.3.</w:t>
      </w:r>
    </w:p>
    <w:p w:rsidR="00000000" w:rsidDel="00000000" w:rsidP="00000000" w:rsidRDefault="00000000" w:rsidRPr="00000000" w14:paraId="0000009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Fonts w:ascii="Arial" w:cs="Arial" w:eastAsia="Arial" w:hAnsi="Arial"/>
          <w:b w:val="1"/>
          <w:bCs w:val="1"/>
          <w:color w:val="1f2937"/>
          <w:sz w:val="21"/>
          <w:szCs w:val="21"/>
          <w:rtl w:val="0"/>
        </w:rPr>
        <w:t xml:space="preserve">A05:2025 – Injection (Inyecciones y Validación Estricta): </w:t>
      </w:r>
      <w:r w:rsidDel="00000000" w:rsidR="00000000" w:rsidRPr="00000000">
        <w:rPr>
          <w:rFonts w:ascii="Arial" w:cs="Arial" w:eastAsia="Arial" w:hAnsi="Arial"/>
          <w:b w:val="0"/>
          <w:bCs w:val="0"/>
          <w:color w:val="1f2937"/>
          <w:sz w:val="21"/>
          <w:szCs w:val="21"/>
          <w:rtl w:val="0"/>
        </w:rPr>
        <w:t xml:space="preserve">Tubería de validación global (ValidationPipe) configurada con lista blanca estricta (whitelist: true, forbidNonWhitelisted: true), neutralizando vectores de Mass Assignment e inyección de propiedades maliciosas [3].</w:t>
      </w:r>
    </w:p>
    <w:p w:rsidR="00000000" w:rsidDel="00000000" w:rsidP="00000000" w:rsidRDefault="00000000" w:rsidRPr="00000000" w14:paraId="0000009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Fonts w:ascii="Arial" w:cs="Arial" w:eastAsia="Arial" w:hAnsi="Arial"/>
          <w:b w:val="1"/>
          <w:bCs w:val="1"/>
          <w:color w:val="1f2937"/>
          <w:sz w:val="21"/>
          <w:szCs w:val="21"/>
          <w:rtl w:val="0"/>
        </w:rPr>
        <w:t xml:space="preserve">A06:2025 – Insecure Design (Diseño Inseguro y Consistencia): </w:t>
      </w:r>
      <w:r w:rsidDel="00000000" w:rsidR="00000000" w:rsidRPr="00000000">
        <w:rPr>
          <w:rFonts w:ascii="Arial" w:cs="Arial" w:eastAsia="Arial" w:hAnsi="Arial"/>
          <w:b w:val="0"/>
          <w:bCs w:val="0"/>
          <w:color w:val="1f2937"/>
          <w:sz w:val="21"/>
          <w:szCs w:val="21"/>
          <w:rtl w:val="0"/>
        </w:rPr>
        <w:t xml:space="preserve">Transaccionalidad atómica mediante prisma.$transaction para garantizar que ante cualquier fallo durante el cobro dividido, el cierre de turno o la anulación de una factura, se ejecute un rollback integral sin corromper los saldos de caja [5].</w:t>
      </w:r>
    </w:p>
    <w:p w:rsidR="00000000" w:rsidDel="00000000" w:rsidP="00000000" w:rsidRDefault="00000000" w:rsidRPr="00000000" w14:paraId="000000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Fonts w:ascii="Arial" w:cs="Arial" w:eastAsia="Arial" w:hAnsi="Arial"/>
          <w:b w:val="1"/>
          <w:bCs w:val="1"/>
          <w:color w:val="1f2937"/>
          <w:sz w:val="21"/>
          <w:szCs w:val="21"/>
          <w:rtl w:val="0"/>
        </w:rPr>
        <w:t xml:space="preserve">A07:2025 – Authentication Failures (Fallas de Autenticación): </w:t>
      </w:r>
      <w:r w:rsidDel="00000000" w:rsidR="00000000" w:rsidRPr="00000000">
        <w:rPr>
          <w:rFonts w:ascii="Arial" w:cs="Arial" w:eastAsia="Arial" w:hAnsi="Arial"/>
          <w:b w:val="0"/>
          <w:bCs w:val="0"/>
          <w:color w:val="1f2937"/>
          <w:sz w:val="21"/>
          <w:szCs w:val="21"/>
          <w:rtl w:val="0"/>
        </w:rPr>
        <w:t xml:space="preserve">Política estricta de complejidad de contraseñas (mínimo 8 caracteres alfanuméricos validados con expresiones regulares) y revocación inmediata de acceso a cuentas marcadas como inactivas.</w:t>
      </w:r>
    </w:p>
    <w:p w:rsidR="00000000" w:rsidDel="00000000" w:rsidP="00000000" w:rsidRDefault="00000000" w:rsidRPr="00000000" w14:paraId="000000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Fonts w:ascii="Arial" w:cs="Arial" w:eastAsia="Arial" w:hAnsi="Arial"/>
          <w:b w:val="1"/>
          <w:bCs w:val="1"/>
          <w:color w:val="1f2937"/>
          <w:sz w:val="21"/>
          <w:szCs w:val="21"/>
          <w:rtl w:val="0"/>
        </w:rPr>
        <w:t xml:space="preserve">A08:2025 – Software or Data Integrity Failures (Integridad de Datos): </w:t>
      </w:r>
      <w:r w:rsidDel="00000000" w:rsidR="00000000" w:rsidRPr="00000000">
        <w:rPr>
          <w:rFonts w:ascii="Arial" w:cs="Arial" w:eastAsia="Arial" w:hAnsi="Arial"/>
          <w:b w:val="0"/>
          <w:bCs w:val="0"/>
          <w:color w:val="1f2937"/>
          <w:sz w:val="21"/>
          <w:szCs w:val="21"/>
          <w:rtl w:val="0"/>
        </w:rPr>
        <w:t xml:space="preserve">Verificación criptográfica de la firma digital de los ID Tokens emitidos por Google Identity Services mediante la librería oficial google-auth-library, impidiendo la suplantación de identidad (token spoofing).</w:t>
      </w:r>
    </w:p>
    <w:p w:rsidR="00000000" w:rsidDel="00000000" w:rsidP="00000000" w:rsidRDefault="00000000" w:rsidRPr="00000000" w14:paraId="000000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Fonts w:ascii="Arial" w:cs="Arial" w:eastAsia="Arial" w:hAnsi="Arial"/>
          <w:b w:val="1"/>
          <w:bCs w:val="1"/>
          <w:color w:val="1f2937"/>
          <w:sz w:val="21"/>
          <w:szCs w:val="21"/>
          <w:rtl w:val="0"/>
        </w:rPr>
        <w:t xml:space="preserve">A09:2025 – Security Logging and Alerting Failures (Registro y Alerta de Seguridad): </w:t>
      </w:r>
      <w:r w:rsidDel="00000000" w:rsidR="00000000" w:rsidRPr="00000000">
        <w:rPr>
          <w:rFonts w:ascii="Arial" w:cs="Arial" w:eastAsia="Arial" w:hAnsi="Arial"/>
          <w:b w:val="0"/>
          <w:bCs w:val="0"/>
          <w:color w:val="1f2937"/>
          <w:sz w:val="21"/>
          <w:szCs w:val="21"/>
          <w:rtl w:val="0"/>
        </w:rPr>
        <w:t xml:space="preserve">Generación de trazas de auditoría estructuradas bajo el prefijo [SECURITY_AUDIT] ante rechazos de autorización o intentos de escalamiento de privilegios, omitiendo contraseñas o tokens en texto plano.</w:t>
      </w:r>
    </w:p>
    <w:p w:rsidR="00000000" w:rsidDel="00000000" w:rsidP="00000000" w:rsidRDefault="00000000" w:rsidRPr="00000000" w14:paraId="000000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Fonts w:ascii="Arial" w:cs="Arial" w:eastAsia="Arial" w:hAnsi="Arial"/>
          <w:b w:val="1"/>
          <w:bCs w:val="1"/>
          <w:color w:val="1f2937"/>
          <w:sz w:val="21"/>
          <w:szCs w:val="21"/>
          <w:rtl w:val="0"/>
        </w:rPr>
        <w:t xml:space="preserve">A10:2025 – Mishandling of Exceptional Conditions (Manejo de Condiciones Excepcionales): </w:t>
      </w:r>
      <w:r w:rsidDel="00000000" w:rsidR="00000000" w:rsidRPr="00000000">
        <w:rPr>
          <w:rFonts w:ascii="Arial" w:cs="Arial" w:eastAsia="Arial" w:hAnsi="Arial"/>
          <w:b w:val="0"/>
          <w:bCs w:val="0"/>
          <w:color w:val="1f2937"/>
          <w:sz w:val="21"/>
          <w:szCs w:val="21"/>
          <w:rtl w:val="0"/>
        </w:rPr>
        <w:t xml:space="preserve">Filtro global PrismaExceptionFilter que intercepta errores internos del motor de datos y los traduce en códigos HTTP semánticos (409 Conflict, 404 Not Found), evitando fugas de stack traces o detalles de la estructura de tablas [10].</w:t>
      </w:r>
    </w:p>
    <w:p w:rsidR="00000000" w:rsidDel="00000000" w:rsidP="00000000" w:rsidRDefault="00000000" w:rsidRPr="00000000" w14:paraId="0000009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pPr>
      <w:r w:rsidDel="00000000" w:rsidR="00000000" w:rsidRPr="00000000">
        <w:rPr>
          <w:rFonts w:ascii="Arial" w:cs="Arial" w:eastAsia="Arial" w:hAnsi="Arial"/>
          <w:b w:val="1"/>
          <w:bCs w:val="1"/>
          <w:color w:val="1f2937"/>
          <w:sz w:val="21"/>
          <w:szCs w:val="21"/>
          <w:rtl w:val="0"/>
        </w:rPr>
        <w:t xml:space="preserve">Auditoría Dinámica DAST con OWASP ZAP: </w:t>
      </w:r>
      <w:r w:rsidDel="00000000" w:rsidR="00000000" w:rsidRPr="00000000">
        <w:rPr>
          <w:rFonts w:ascii="Arial" w:cs="Arial" w:eastAsia="Arial" w:hAnsi="Arial"/>
          <w:b w:val="0"/>
          <w:bCs w:val="0"/>
          <w:color w:val="1f2937"/>
          <w:sz w:val="21"/>
          <w:szCs w:val="21"/>
          <w:rtl w:val="0"/>
        </w:rPr>
        <w:t xml:space="preserve">Ejecución del escáner automatizado de penetración (ejecutar_zap_scan.bat), obteniendo 0 alertas de riesgo alto y 0 alertas de riesgo medio sobre los servicios desplegados.</w:t>
      </w:r>
    </w:p>
    <w:p w:rsidR="00000000" w:rsidDel="00000000" w:rsidP="00000000" w:rsidRDefault="00000000" w:rsidRPr="00000000" w14:paraId="0000009E">
      <w:pPr>
        <w:pStyle w:val="Heading3"/>
        <w:spacing w:after="80" w:before="200" w:lineRule="auto"/>
        <w:rPr>
          <w:rFonts w:ascii="Arial" w:cs="Arial" w:eastAsia="Arial" w:hAnsi="Arial"/>
          <w:b w:val="1"/>
          <w:bCs w:val="1"/>
          <w:color w:val="334155"/>
          <w:sz w:val="21"/>
          <w:szCs w:val="21"/>
        </w:rPr>
      </w:pPr>
      <w:bookmarkStart w:colFirst="0" w:colLast="0" w:name="_gsa4wkj4vjhm" w:id="17"/>
      <w:bookmarkEnd w:id="17"/>
      <w:r w:rsidDel="00000000" w:rsidR="00000000" w:rsidRPr="00000000">
        <w:rPr>
          <w:rFonts w:ascii="Arial" w:cs="Arial" w:eastAsia="Arial" w:hAnsi="Arial"/>
          <w:b w:val="1"/>
          <w:bCs w:val="1"/>
          <w:color w:val="334155"/>
          <w:sz w:val="21"/>
          <w:szCs w:val="21"/>
          <w:rtl w:val="0"/>
        </w:rPr>
        <w:t xml:space="preserve">Verificación de Seguridad (OWASP):</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Diez categorías del estándar OWASP Top 10:2025 mitigadas y comprobadas con tests.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Validación estricta de entradas implementada mediante listas blancas en DTOs.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Mecanismos de autenticación híbrida y autorización RBAC plenamente funcionales.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Datos sensibles protegidos en reposo (Argon2id) y en tránsito (HTTPS / TLS).</w:t>
      </w:r>
    </w:p>
    <w:p w:rsidR="00000000" w:rsidDel="00000000" w:rsidP="00000000" w:rsidRDefault="00000000" w:rsidRPr="00000000" w14:paraId="000000A3">
      <w:pPr>
        <w:pStyle w:val="Heading1"/>
        <w:spacing w:after="160" w:before="360" w:lineRule="auto"/>
        <w:rPr>
          <w:rFonts w:ascii="Arial" w:cs="Arial" w:eastAsia="Arial" w:hAnsi="Arial"/>
          <w:b w:val="1"/>
          <w:bCs w:val="1"/>
          <w:color w:val="1b365d"/>
          <w:sz w:val="28"/>
          <w:szCs w:val="28"/>
        </w:rPr>
      </w:pPr>
      <w:bookmarkStart w:colFirst="0" w:colLast="0" w:name="_7tp1yty0r9ai" w:id="18"/>
      <w:bookmarkEnd w:id="18"/>
      <w:r w:rsidDel="00000000" w:rsidR="00000000" w:rsidRPr="00000000">
        <w:rPr>
          <w:rFonts w:ascii="Arial" w:cs="Arial" w:eastAsia="Arial" w:hAnsi="Arial"/>
          <w:b w:val="1"/>
          <w:bCs w:val="1"/>
          <w:color w:val="1b365d"/>
          <w:sz w:val="28"/>
          <w:szCs w:val="28"/>
          <w:rtl w:val="0"/>
        </w:rPr>
        <w:t xml:space="preserve">5. Avance de Desarrollo del Producto (25% según Rúbrica)</w:t>
      </w:r>
    </w:p>
    <w:p w:rsidR="00000000" w:rsidDel="00000000" w:rsidP="00000000" w:rsidRDefault="00000000" w:rsidRPr="00000000" w14:paraId="000000A4">
      <w:pPr>
        <w:pStyle w:val="Heading2"/>
        <w:spacing w:after="120" w:before="280" w:lineRule="auto"/>
        <w:rPr>
          <w:rFonts w:ascii="Arial" w:cs="Arial" w:eastAsia="Arial" w:hAnsi="Arial"/>
          <w:b w:val="1"/>
          <w:bCs w:val="1"/>
          <w:color w:val="1e40af"/>
          <w:sz w:val="23"/>
          <w:szCs w:val="23"/>
        </w:rPr>
      </w:pPr>
      <w:bookmarkStart w:colFirst="0" w:colLast="0" w:name="_tc8612bre98h" w:id="19"/>
      <w:bookmarkEnd w:id="19"/>
      <w:r w:rsidDel="00000000" w:rsidR="00000000" w:rsidRPr="00000000">
        <w:rPr>
          <w:rFonts w:ascii="Arial" w:cs="Arial" w:eastAsia="Arial" w:hAnsi="Arial"/>
          <w:b w:val="1"/>
          <w:bCs w:val="1"/>
          <w:color w:val="1e40af"/>
          <w:sz w:val="23"/>
          <w:szCs w:val="23"/>
          <w:rtl w:val="0"/>
        </w:rPr>
        <w:t xml:space="preserve">5.1. Historias de Usuario Implementadas en el Sprint 1</w:t>
      </w:r>
    </w:p>
    <w:tbl>
      <w:tblPr>
        <w:tblStyle w:val="Table6"/>
        <w:tblW w:w="960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1160"/>
        <w:gridCol w:w="5440"/>
        <w:gridCol w:w="1700"/>
        <w:gridCol w:w="1300"/>
        <w:tblGridChange w:id="0">
          <w:tblGrid>
            <w:gridCol w:w="1160"/>
            <w:gridCol w:w="5440"/>
            <w:gridCol w:w="1700"/>
            <w:gridCol w:w="1300"/>
          </w:tblGrid>
        </w:tblGridChange>
      </w:tblGrid>
      <w:tr>
        <w:trPr>
          <w:cantSplit w:val="0"/>
          <w:tblHeader w:val="0"/>
        </w:trPr>
        <w:tc>
          <w:tcPr>
            <w:shd w:fill="1b365d" w:val="clear"/>
            <w:tcMar>
              <w:top w:w="120.0" w:type="dxa"/>
              <w:left w:w="160.0" w:type="dxa"/>
              <w:bottom w:w="120.0" w:type="dxa"/>
              <w:right w:w="16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HU ID</w:t>
            </w:r>
          </w:p>
        </w:tc>
        <w:tc>
          <w:tcPr>
            <w:shd w:fill="1b365d" w:val="clear"/>
            <w:tcMar>
              <w:top w:w="120.0" w:type="dxa"/>
              <w:left w:w="160.0" w:type="dxa"/>
              <w:bottom w:w="120.0" w:type="dxa"/>
              <w:right w:w="16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Descripción Técnica y Alcance Funcional Implementado</w:t>
            </w:r>
          </w:p>
        </w:tc>
        <w:tc>
          <w:tcPr>
            <w:shd w:fill="1b365d" w:val="clear"/>
            <w:tcMar>
              <w:top w:w="120.0" w:type="dxa"/>
              <w:left w:w="160.0" w:type="dxa"/>
              <w:bottom w:w="120.0" w:type="dxa"/>
              <w:right w:w="16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Estado</w:t>
            </w:r>
          </w:p>
        </w:tc>
        <w:tc>
          <w:tcPr>
            <w:shd w:fill="1b365d" w:val="clear"/>
            <w:tcMar>
              <w:top w:w="120.0" w:type="dxa"/>
              <w:left w:w="160.0" w:type="dxa"/>
              <w:bottom w:w="120.0" w:type="dxa"/>
              <w:right w:w="16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Esfuerzo</w:t>
            </w:r>
          </w:p>
        </w:tc>
      </w:tr>
      <w:tr>
        <w:trPr>
          <w:cantSplit w:val="0"/>
          <w:tblHeader w:val="0"/>
        </w:trPr>
        <w:tc>
          <w:tcPr>
            <w:shd w:fill="ffffff" w:val="clear"/>
            <w:tcMar>
              <w:top w:w="120.0" w:type="dxa"/>
              <w:left w:w="160.0" w:type="dxa"/>
              <w:bottom w:w="120.0" w:type="dxa"/>
              <w:right w:w="16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f2937"/>
                <w:sz w:val="19"/>
                <w:szCs w:val="19"/>
              </w:rPr>
            </w:pPr>
            <w:r w:rsidDel="00000000" w:rsidR="00000000" w:rsidRPr="00000000">
              <w:rPr>
                <w:rFonts w:ascii="Arial" w:cs="Arial" w:eastAsia="Arial" w:hAnsi="Arial"/>
                <w:b w:val="1"/>
                <w:bCs w:val="1"/>
                <w:color w:val="1f2937"/>
                <w:sz w:val="19"/>
                <w:szCs w:val="19"/>
                <w:rtl w:val="0"/>
              </w:rPr>
              <w:t xml:space="preserve">HU-001</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Autenticación Híbrida y Control de Acceso por Roles (RBAC): Login para personal con Argon2id/JWT y para clientes externos mediante Google OAuth 2.0. Guardias JwtAuthGuard y RolesGuard.</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Unicode MS" w:cs="Arial Unicode MS" w:eastAsia="Arial Unicode MS" w:hAnsi="Arial Unicode MS"/>
                <w:b w:val="0"/>
                <w:bCs w:val="0"/>
                <w:color w:val="1f2937"/>
                <w:sz w:val="19"/>
                <w:szCs w:val="19"/>
                <w:rtl w:val="0"/>
              </w:rPr>
              <w:t xml:space="preserve">✅ Completada</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5 SP</w:t>
            </w:r>
          </w:p>
        </w:tc>
      </w:tr>
      <w:tr>
        <w:trPr>
          <w:cantSplit w:val="0"/>
          <w:tblHeader w:val="0"/>
        </w:trPr>
        <w:tc>
          <w:tcPr>
            <w:shd w:fill="f8fafc" w:val="clear"/>
            <w:tcMar>
              <w:top w:w="120.0" w:type="dxa"/>
              <w:left w:w="160.0" w:type="dxa"/>
              <w:bottom w:w="120.0" w:type="dxa"/>
              <w:right w:w="16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f2937"/>
                <w:sz w:val="19"/>
                <w:szCs w:val="19"/>
              </w:rPr>
            </w:pPr>
            <w:r w:rsidDel="00000000" w:rsidR="00000000" w:rsidRPr="00000000">
              <w:rPr>
                <w:rFonts w:ascii="Arial" w:cs="Arial" w:eastAsia="Arial" w:hAnsi="Arial"/>
                <w:b w:val="1"/>
                <w:bCs w:val="1"/>
                <w:color w:val="1f2937"/>
                <w:sz w:val="19"/>
                <w:szCs w:val="19"/>
                <w:rtl w:val="0"/>
              </w:rPr>
              <w:t xml:space="preserve">HU-002</w:t>
            </w:r>
          </w:p>
        </w:tc>
        <w:tc>
          <w:tcPr>
            <w:shd w:fill="f8fafc" w:val="clear"/>
            <w:tcMar>
              <w:top w:w="120.0" w:type="dxa"/>
              <w:left w:w="160.0" w:type="dxa"/>
              <w:bottom w:w="120.0" w:type="dxa"/>
              <w:right w:w="16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Monitoreo y Gestión Visual del Salón de Mesas: Representación gráfica interactiva del salón con estados cromáticos reactivos (Libre, Ocupada, Atendiendo), asociación de comandas y liberación al facturar.</w:t>
            </w:r>
          </w:p>
        </w:tc>
        <w:tc>
          <w:tcPr>
            <w:shd w:fill="f8fafc" w:val="clear"/>
            <w:tcMar>
              <w:top w:w="120.0" w:type="dxa"/>
              <w:left w:w="160.0" w:type="dxa"/>
              <w:bottom w:w="120.0" w:type="dxa"/>
              <w:right w:w="16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Unicode MS" w:cs="Arial Unicode MS" w:eastAsia="Arial Unicode MS" w:hAnsi="Arial Unicode MS"/>
                <w:b w:val="0"/>
                <w:bCs w:val="0"/>
                <w:color w:val="1f2937"/>
                <w:sz w:val="19"/>
                <w:szCs w:val="19"/>
                <w:rtl w:val="0"/>
              </w:rPr>
              <w:t xml:space="preserve">✅ Completada</w:t>
            </w:r>
          </w:p>
        </w:tc>
        <w:tc>
          <w:tcPr>
            <w:shd w:fill="f8fafc" w:val="clear"/>
            <w:tcMar>
              <w:top w:w="120.0" w:type="dxa"/>
              <w:left w:w="160.0" w:type="dxa"/>
              <w:bottom w:w="120.0" w:type="dxa"/>
              <w:right w:w="16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5 SP</w:t>
            </w:r>
          </w:p>
        </w:tc>
      </w:tr>
      <w:tr>
        <w:trPr>
          <w:cantSplit w:val="0"/>
          <w:tblHeader w:val="0"/>
        </w:trPr>
        <w:tc>
          <w:tcPr>
            <w:shd w:fill="ffffff" w:val="clear"/>
            <w:tcMar>
              <w:top w:w="120.0" w:type="dxa"/>
              <w:left w:w="160.0" w:type="dxa"/>
              <w:bottom w:w="120.0" w:type="dxa"/>
              <w:right w:w="16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f2937"/>
                <w:sz w:val="19"/>
                <w:szCs w:val="19"/>
              </w:rPr>
            </w:pPr>
            <w:r w:rsidDel="00000000" w:rsidR="00000000" w:rsidRPr="00000000">
              <w:rPr>
                <w:rFonts w:ascii="Arial" w:cs="Arial" w:eastAsia="Arial" w:hAnsi="Arial"/>
                <w:b w:val="1"/>
                <w:bCs w:val="1"/>
                <w:color w:val="1f2937"/>
                <w:sz w:val="19"/>
                <w:szCs w:val="19"/>
                <w:rtl w:val="0"/>
              </w:rPr>
              <w:t xml:space="preserve">HU-003</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Catálogo Gastronómico y Control de Existencias: Gestión CRUD de categorías y productos con imágenes, descripción, precios unitarios fijos e inventario base validado con DTOs tipados.</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Unicode MS" w:cs="Arial Unicode MS" w:eastAsia="Arial Unicode MS" w:hAnsi="Arial Unicode MS"/>
                <w:b w:val="0"/>
                <w:bCs w:val="0"/>
                <w:color w:val="1f2937"/>
                <w:sz w:val="19"/>
                <w:szCs w:val="19"/>
                <w:rtl w:val="0"/>
              </w:rPr>
              <w:t xml:space="preserve">✅ Completada</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5 SP</w:t>
            </w:r>
          </w:p>
        </w:tc>
      </w:tr>
      <w:tr>
        <w:trPr>
          <w:cantSplit w:val="0"/>
          <w:tblHeader w:val="0"/>
        </w:trPr>
        <w:tc>
          <w:tcPr>
            <w:shd w:fill="f8fafc" w:val="clear"/>
            <w:tcMar>
              <w:top w:w="120.0" w:type="dxa"/>
              <w:left w:w="160.0" w:type="dxa"/>
              <w:bottom w:w="120.0" w:type="dxa"/>
              <w:right w:w="16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f2937"/>
                <w:sz w:val="19"/>
                <w:szCs w:val="19"/>
              </w:rPr>
            </w:pPr>
            <w:r w:rsidDel="00000000" w:rsidR="00000000" w:rsidRPr="00000000">
              <w:rPr>
                <w:rFonts w:ascii="Arial" w:cs="Arial" w:eastAsia="Arial" w:hAnsi="Arial"/>
                <w:b w:val="1"/>
                <w:bCs w:val="1"/>
                <w:color w:val="1f2937"/>
                <w:sz w:val="19"/>
                <w:szCs w:val="19"/>
                <w:rtl w:val="0"/>
              </w:rPr>
              <w:t xml:space="preserve">HU-004</w:t>
            </w:r>
          </w:p>
        </w:tc>
        <w:tc>
          <w:tcPr>
            <w:shd w:fill="f8fafc" w:val="clear"/>
            <w:tcMar>
              <w:top w:w="120.0" w:type="dxa"/>
              <w:left w:w="160.0" w:type="dxa"/>
              <w:bottom w:w="120.0" w:type="dxa"/>
              <w:right w:w="16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Toma, Edición y Despacho de Comandas: Captura de pedidos por mesa con especificaciones culinarias por ítem ("sin cebolla", "término medio"), cálculo reactivo de subtotal y envío inmediato a cocina.</w:t>
            </w:r>
          </w:p>
        </w:tc>
        <w:tc>
          <w:tcPr>
            <w:shd w:fill="f8fafc" w:val="clear"/>
            <w:tcMar>
              <w:top w:w="120.0" w:type="dxa"/>
              <w:left w:w="160.0" w:type="dxa"/>
              <w:bottom w:w="120.0" w:type="dxa"/>
              <w:right w:w="16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Unicode MS" w:cs="Arial Unicode MS" w:eastAsia="Arial Unicode MS" w:hAnsi="Arial Unicode MS"/>
                <w:b w:val="0"/>
                <w:bCs w:val="0"/>
                <w:color w:val="1f2937"/>
                <w:sz w:val="19"/>
                <w:szCs w:val="19"/>
                <w:rtl w:val="0"/>
              </w:rPr>
              <w:t xml:space="preserve">✅ Completada</w:t>
            </w:r>
          </w:p>
        </w:tc>
        <w:tc>
          <w:tcPr>
            <w:shd w:fill="f8fafc" w:val="clear"/>
            <w:tcMar>
              <w:top w:w="120.0" w:type="dxa"/>
              <w:left w:w="160.0" w:type="dxa"/>
              <w:bottom w:w="120.0" w:type="dxa"/>
              <w:right w:w="16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8 SP</w:t>
            </w:r>
          </w:p>
        </w:tc>
      </w:tr>
      <w:tr>
        <w:trPr>
          <w:cantSplit w:val="0"/>
          <w:tblHeader w:val="0"/>
        </w:trPr>
        <w:tc>
          <w:tcPr>
            <w:shd w:fill="ffffff" w:val="clear"/>
            <w:tcMar>
              <w:top w:w="120.0" w:type="dxa"/>
              <w:left w:w="160.0" w:type="dxa"/>
              <w:bottom w:w="120.0" w:type="dxa"/>
              <w:right w:w="16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f2937"/>
                <w:sz w:val="19"/>
                <w:szCs w:val="19"/>
              </w:rPr>
            </w:pPr>
            <w:r w:rsidDel="00000000" w:rsidR="00000000" w:rsidRPr="00000000">
              <w:rPr>
                <w:rFonts w:ascii="Arial" w:cs="Arial" w:eastAsia="Arial" w:hAnsi="Arial"/>
                <w:b w:val="1"/>
                <w:bCs w:val="1"/>
                <w:color w:val="1f2937"/>
                <w:sz w:val="19"/>
                <w:szCs w:val="19"/>
                <w:rtl w:val="0"/>
              </w:rPr>
              <w:t xml:space="preserve">HU-005</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Visor de Cocina KDS (Kitchen Display System): Interfaz táctil de cocina reactiva con Angular Signals; visualización ordenada de comandas activas, cronómetro de espera y transición de estados (Pendiente -&gt; En Preparación -&gt; Listo).</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Unicode MS" w:cs="Arial Unicode MS" w:eastAsia="Arial Unicode MS" w:hAnsi="Arial Unicode MS"/>
                <w:b w:val="0"/>
                <w:bCs w:val="0"/>
                <w:color w:val="1f2937"/>
                <w:sz w:val="19"/>
                <w:szCs w:val="19"/>
                <w:rtl w:val="0"/>
              </w:rPr>
              <w:t xml:space="preserve">✅ Completada</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5 SP</w:t>
            </w:r>
          </w:p>
        </w:tc>
      </w:tr>
      <w:tr>
        <w:trPr>
          <w:cantSplit w:val="0"/>
          <w:tblHeader w:val="0"/>
        </w:trPr>
        <w:tc>
          <w:tcPr>
            <w:shd w:fill="f8fafc" w:val="clear"/>
            <w:tcMar>
              <w:top w:w="120.0" w:type="dxa"/>
              <w:left w:w="160.0" w:type="dxa"/>
              <w:bottom w:w="120.0" w:type="dxa"/>
              <w:right w:w="16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f2937"/>
                <w:sz w:val="19"/>
                <w:szCs w:val="19"/>
              </w:rPr>
            </w:pPr>
            <w:r w:rsidDel="00000000" w:rsidR="00000000" w:rsidRPr="00000000">
              <w:rPr>
                <w:rFonts w:ascii="Arial" w:cs="Arial" w:eastAsia="Arial" w:hAnsi="Arial"/>
                <w:b w:val="1"/>
                <w:bCs w:val="1"/>
                <w:color w:val="1f2937"/>
                <w:sz w:val="19"/>
                <w:szCs w:val="19"/>
                <w:rtl w:val="0"/>
              </w:rPr>
              <w:t xml:space="preserve">HU-006</w:t>
            </w:r>
          </w:p>
        </w:tc>
        <w:tc>
          <w:tcPr>
            <w:shd w:fill="f8fafc" w:val="clear"/>
            <w:tcMar>
              <w:top w:w="120.0" w:type="dxa"/>
              <w:left w:w="160.0" w:type="dxa"/>
              <w:bottom w:w="120.0" w:type="dxa"/>
              <w:right w:w="16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Gestión de Caja, Arqueo Físico y Auditoría de Turno: Control de turnos de caja (apertura, base, gastos operativos, transferencias y cierre) con arqueo físico por denominaciones de billetes colombianos ($100k a $2k) y cálculo de faltante/sobrante.</w:t>
            </w:r>
          </w:p>
        </w:tc>
        <w:tc>
          <w:tcPr>
            <w:shd w:fill="f8fafc" w:val="clear"/>
            <w:tcMar>
              <w:top w:w="120.0" w:type="dxa"/>
              <w:left w:w="160.0" w:type="dxa"/>
              <w:bottom w:w="120.0" w:type="dxa"/>
              <w:right w:w="16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Unicode MS" w:cs="Arial Unicode MS" w:eastAsia="Arial Unicode MS" w:hAnsi="Arial Unicode MS"/>
                <w:b w:val="0"/>
                <w:bCs w:val="0"/>
                <w:color w:val="1f2937"/>
                <w:sz w:val="19"/>
                <w:szCs w:val="19"/>
                <w:rtl w:val="0"/>
              </w:rPr>
              <w:t xml:space="preserve">✅ Completada</w:t>
            </w:r>
          </w:p>
        </w:tc>
        <w:tc>
          <w:tcPr>
            <w:shd w:fill="f8fafc" w:val="clear"/>
            <w:tcMar>
              <w:top w:w="120.0" w:type="dxa"/>
              <w:left w:w="160.0" w:type="dxa"/>
              <w:bottom w:w="120.0" w:type="dxa"/>
              <w:right w:w="16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8 SP</w:t>
            </w:r>
          </w:p>
        </w:tc>
      </w:tr>
      <w:tr>
        <w:trPr>
          <w:cantSplit w:val="0"/>
          <w:tblHeader w:val="0"/>
        </w:trPr>
        <w:tc>
          <w:tcPr>
            <w:shd w:fill="ffffff" w:val="clear"/>
            <w:tcMar>
              <w:top w:w="120.0" w:type="dxa"/>
              <w:left w:w="160.0" w:type="dxa"/>
              <w:bottom w:w="120.0" w:type="dxa"/>
              <w:right w:w="16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f2937"/>
                <w:sz w:val="19"/>
                <w:szCs w:val="19"/>
              </w:rPr>
            </w:pPr>
            <w:r w:rsidDel="00000000" w:rsidR="00000000" w:rsidRPr="00000000">
              <w:rPr>
                <w:rFonts w:ascii="Arial" w:cs="Arial" w:eastAsia="Arial" w:hAnsi="Arial"/>
                <w:b w:val="1"/>
                <w:bCs w:val="1"/>
                <w:color w:val="1f2937"/>
                <w:sz w:val="19"/>
                <w:szCs w:val="19"/>
                <w:rtl w:val="0"/>
              </w:rPr>
              <w:t xml:space="preserve">HU-007</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Módulo de Domicilios y Pedidos de Clientes en la Nube: Radicación de pedidos remotos por comensales autenticados, mitigación estricta de IDOR, asignación de repartidor y seguimiento de despacho.</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Unicode MS" w:cs="Arial Unicode MS" w:eastAsia="Arial Unicode MS" w:hAnsi="Arial Unicode MS"/>
                <w:b w:val="0"/>
                <w:bCs w:val="0"/>
                <w:color w:val="1f2937"/>
                <w:sz w:val="19"/>
                <w:szCs w:val="19"/>
                <w:rtl w:val="0"/>
              </w:rPr>
              <w:t xml:space="preserve">✅ Completada</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5 SP</w:t>
            </w:r>
          </w:p>
        </w:tc>
      </w:tr>
      <w:tr>
        <w:trPr>
          <w:cantSplit w:val="0"/>
          <w:tblHeader w:val="0"/>
        </w:trPr>
        <w:tc>
          <w:tcPr>
            <w:shd w:fill="f8fafc" w:val="clear"/>
            <w:tcMar>
              <w:top w:w="120.0" w:type="dxa"/>
              <w:left w:w="160.0" w:type="dxa"/>
              <w:bottom w:w="120.0" w:type="dxa"/>
              <w:right w:w="16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f2937"/>
                <w:sz w:val="19"/>
                <w:szCs w:val="19"/>
              </w:rPr>
            </w:pPr>
            <w:r w:rsidDel="00000000" w:rsidR="00000000" w:rsidRPr="00000000">
              <w:rPr>
                <w:rFonts w:ascii="Arial" w:cs="Arial" w:eastAsia="Arial" w:hAnsi="Arial"/>
                <w:b w:val="1"/>
                <w:bCs w:val="1"/>
                <w:color w:val="1f2937"/>
                <w:sz w:val="19"/>
                <w:szCs w:val="19"/>
                <w:rtl w:val="0"/>
              </w:rPr>
              <w:t xml:space="preserve">HU-008</w:t>
            </w:r>
          </w:p>
        </w:tc>
        <w:tc>
          <w:tcPr>
            <w:shd w:fill="f8fafc" w:val="clear"/>
            <w:tcMar>
              <w:top w:w="120.0" w:type="dxa"/>
              <w:left w:w="160.0" w:type="dxa"/>
              <w:bottom w:w="120.0" w:type="dxa"/>
              <w:right w:w="16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Facturación, Liquidación Multimodal y Anulación: Emisión de factura con desglose impositivo y propinas, soporte de pagos combinados (Efectivo, Tarjeta, Transferencia), cálculo de cambio y anulación atómica de transacciones e inventario.</w:t>
            </w:r>
          </w:p>
        </w:tc>
        <w:tc>
          <w:tcPr>
            <w:shd w:fill="f8fafc" w:val="clear"/>
            <w:tcMar>
              <w:top w:w="120.0" w:type="dxa"/>
              <w:left w:w="160.0" w:type="dxa"/>
              <w:bottom w:w="120.0" w:type="dxa"/>
              <w:right w:w="16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Unicode MS" w:cs="Arial Unicode MS" w:eastAsia="Arial Unicode MS" w:hAnsi="Arial Unicode MS"/>
                <w:b w:val="0"/>
                <w:bCs w:val="0"/>
                <w:color w:val="1f2937"/>
                <w:sz w:val="19"/>
                <w:szCs w:val="19"/>
                <w:rtl w:val="0"/>
              </w:rPr>
              <w:t xml:space="preserve">✅ Completada</w:t>
            </w:r>
          </w:p>
        </w:tc>
        <w:tc>
          <w:tcPr>
            <w:shd w:fill="f8fafc" w:val="clear"/>
            <w:tcMar>
              <w:top w:w="120.0" w:type="dxa"/>
              <w:left w:w="160.0" w:type="dxa"/>
              <w:bottom w:w="120.0" w:type="dxa"/>
              <w:right w:w="16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5 SP</w:t>
            </w:r>
          </w:p>
        </w:tc>
      </w:tr>
      <w:tr>
        <w:trPr>
          <w:cantSplit w:val="0"/>
          <w:tblHeader w:val="0"/>
        </w:trPr>
        <w:tc>
          <w:tcPr>
            <w:shd w:fill="e2e8f0" w:val="clear"/>
            <w:tcMar>
              <w:top w:w="120.0" w:type="dxa"/>
              <w:left w:w="160.0" w:type="dxa"/>
              <w:bottom w:w="120.0" w:type="dxa"/>
              <w:right w:w="16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b365d"/>
                <w:sz w:val="19"/>
                <w:szCs w:val="19"/>
              </w:rPr>
            </w:pPr>
            <w:r w:rsidDel="00000000" w:rsidR="00000000" w:rsidRPr="00000000">
              <w:rPr>
                <w:rFonts w:ascii="Arial" w:cs="Arial" w:eastAsia="Arial" w:hAnsi="Arial"/>
                <w:b w:val="1"/>
                <w:bCs w:val="1"/>
                <w:color w:val="1b365d"/>
                <w:sz w:val="19"/>
                <w:szCs w:val="19"/>
                <w:rtl w:val="0"/>
              </w:rPr>
              <w:t xml:space="preserve">TOTAL</w:t>
            </w:r>
          </w:p>
        </w:tc>
        <w:tc>
          <w:tcPr>
            <w:shd w:fill="e2e8f0" w:val="clear"/>
            <w:tcMar>
              <w:top w:w="120.0" w:type="dxa"/>
              <w:left w:w="160.0" w:type="dxa"/>
              <w:bottom w:w="120.0" w:type="dxa"/>
              <w:right w:w="16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b365d"/>
                <w:sz w:val="19"/>
                <w:szCs w:val="19"/>
              </w:rPr>
            </w:pPr>
            <w:r w:rsidDel="00000000" w:rsidR="00000000" w:rsidRPr="00000000">
              <w:rPr>
                <w:rFonts w:ascii="Arial" w:cs="Arial" w:eastAsia="Arial" w:hAnsi="Arial"/>
                <w:b w:val="1"/>
                <w:bCs w:val="1"/>
                <w:color w:val="1b365d"/>
                <w:sz w:val="19"/>
                <w:szCs w:val="19"/>
                <w:rtl w:val="0"/>
              </w:rPr>
              <w:t xml:space="preserve">8 Historias de Usuario finalizadas, probadas y desplegadas en producción Cloud</w:t>
            </w:r>
          </w:p>
        </w:tc>
        <w:tc>
          <w:tcPr>
            <w:shd w:fill="e2e8f0" w:val="clear"/>
            <w:tcMar>
              <w:top w:w="120.0" w:type="dxa"/>
              <w:left w:w="160.0" w:type="dxa"/>
              <w:bottom w:w="120.0" w:type="dxa"/>
              <w:right w:w="16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b365d"/>
                <w:sz w:val="19"/>
                <w:szCs w:val="19"/>
              </w:rPr>
            </w:pPr>
            <w:r w:rsidDel="00000000" w:rsidR="00000000" w:rsidRPr="00000000">
              <w:rPr>
                <w:rFonts w:ascii="Arial" w:cs="Arial" w:eastAsia="Arial" w:hAnsi="Arial"/>
                <w:b w:val="1"/>
                <w:bCs w:val="1"/>
                <w:color w:val="1b365d"/>
                <w:sz w:val="19"/>
                <w:szCs w:val="19"/>
                <w:rtl w:val="0"/>
              </w:rPr>
              <w:t xml:space="preserve">100% Cumplido</w:t>
            </w:r>
          </w:p>
        </w:tc>
        <w:tc>
          <w:tcPr>
            <w:shd w:fill="e2e8f0" w:val="clear"/>
            <w:tcMar>
              <w:top w:w="120.0" w:type="dxa"/>
              <w:left w:w="160.0" w:type="dxa"/>
              <w:bottom w:w="120.0" w:type="dxa"/>
              <w:right w:w="16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b365d"/>
                <w:sz w:val="19"/>
                <w:szCs w:val="19"/>
              </w:rPr>
            </w:pPr>
            <w:r w:rsidDel="00000000" w:rsidR="00000000" w:rsidRPr="00000000">
              <w:rPr>
                <w:rFonts w:ascii="Arial" w:cs="Arial" w:eastAsia="Arial" w:hAnsi="Arial"/>
                <w:b w:val="1"/>
                <w:bCs w:val="1"/>
                <w:color w:val="1b365d"/>
                <w:sz w:val="19"/>
                <w:szCs w:val="19"/>
                <w:rtl w:val="0"/>
              </w:rPr>
              <w:t xml:space="preserve">46 SP</w:t>
            </w:r>
          </w:p>
        </w:tc>
      </w:tr>
    </w:tbl>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e40af"/>
          <w:sz w:val="23"/>
          <w:szCs w:val="23"/>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rial" w:cs="Arial" w:eastAsia="Arial" w:hAnsi="Arial"/>
          <w:b w:val="1"/>
          <w:bCs w:val="1"/>
          <w:color w:val="1e40af"/>
          <w:sz w:val="12"/>
          <w:szCs w:val="12"/>
        </w:rPr>
      </w:pPr>
      <w:r w:rsidDel="00000000" w:rsidR="00000000" w:rsidRPr="00000000">
        <w:rPr>
          <w:rtl w:val="0"/>
        </w:rPr>
      </w:r>
    </w:p>
    <w:p w:rsidR="00000000" w:rsidDel="00000000" w:rsidP="00000000" w:rsidRDefault="00000000" w:rsidRPr="00000000" w14:paraId="000000CF">
      <w:pPr>
        <w:pStyle w:val="Heading2"/>
        <w:spacing w:after="120" w:before="280" w:lineRule="auto"/>
        <w:rPr>
          <w:rFonts w:ascii="Arial" w:cs="Arial" w:eastAsia="Arial" w:hAnsi="Arial"/>
          <w:b w:val="1"/>
          <w:bCs w:val="1"/>
          <w:color w:val="1e40af"/>
          <w:sz w:val="23"/>
          <w:szCs w:val="23"/>
        </w:rPr>
      </w:pPr>
      <w:bookmarkStart w:colFirst="0" w:colLast="0" w:name="_7hf81os2u8gj" w:id="20"/>
      <w:bookmarkEnd w:id="20"/>
      <w:r w:rsidDel="00000000" w:rsidR="00000000" w:rsidRPr="00000000">
        <w:rPr>
          <w:rFonts w:ascii="Arial" w:cs="Arial" w:eastAsia="Arial" w:hAnsi="Arial"/>
          <w:b w:val="1"/>
          <w:bCs w:val="1"/>
          <w:color w:val="1e40af"/>
          <w:sz w:val="23"/>
          <w:szCs w:val="23"/>
          <w:rtl w:val="0"/>
        </w:rPr>
        <w:t xml:space="preserve">5.2. Métricas de Avance y Velocidad del Sprint</w:t>
      </w:r>
    </w:p>
    <w:tbl>
      <w:tblPr>
        <w:tblStyle w:val="Table7"/>
        <w:tblW w:w="960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3640"/>
        <w:gridCol w:w="5960"/>
        <w:tblGridChange w:id="0">
          <w:tblGrid>
            <w:gridCol w:w="3640"/>
            <w:gridCol w:w="5960"/>
          </w:tblGrid>
        </w:tblGridChange>
      </w:tblGrid>
      <w:tr>
        <w:trPr>
          <w:cantSplit w:val="0"/>
          <w:tblHeader w:val="0"/>
        </w:trPr>
        <w:tc>
          <w:tcPr>
            <w:shd w:fill="1b365d" w:val="clear"/>
            <w:tcMar>
              <w:top w:w="120.0" w:type="dxa"/>
              <w:left w:w="160.0" w:type="dxa"/>
              <w:bottom w:w="120.0" w:type="dxa"/>
              <w:right w:w="16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Métrica de Gestión Ágil</w:t>
            </w:r>
          </w:p>
        </w:tc>
        <w:tc>
          <w:tcPr>
            <w:shd w:fill="1b365d" w:val="clear"/>
            <w:tcMar>
              <w:top w:w="120.0" w:type="dxa"/>
              <w:left w:w="160.0" w:type="dxa"/>
              <w:bottom w:w="120.0" w:type="dxa"/>
              <w:right w:w="16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Valor Obtenido al Cierre del Sprint 1</w:t>
            </w:r>
          </w:p>
        </w:tc>
      </w:tr>
      <w:tr>
        <w:trPr>
          <w:cantSplit w:val="0"/>
          <w:tblHeader w:val="0"/>
        </w:trPr>
        <w:tc>
          <w:tcPr>
            <w:shd w:fill="f1f5f9" w:val="clear"/>
            <w:tcMar>
              <w:top w:w="120.0" w:type="dxa"/>
              <w:left w:w="160.0" w:type="dxa"/>
              <w:bottom w:w="120.0" w:type="dxa"/>
              <w:right w:w="16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b365d"/>
                <w:sz w:val="19"/>
                <w:szCs w:val="19"/>
              </w:rPr>
            </w:pPr>
            <w:r w:rsidDel="00000000" w:rsidR="00000000" w:rsidRPr="00000000">
              <w:rPr>
                <w:rFonts w:ascii="Arial" w:cs="Arial" w:eastAsia="Arial" w:hAnsi="Arial"/>
                <w:b w:val="1"/>
                <w:bCs w:val="1"/>
                <w:color w:val="1b365d"/>
                <w:sz w:val="19"/>
                <w:szCs w:val="19"/>
                <w:rtl w:val="0"/>
              </w:rPr>
              <w:t xml:space="preserve">Historias de Usuario Completadas</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8 de 8 historias comprometidas (100% de efectividad)</w:t>
            </w:r>
          </w:p>
        </w:tc>
      </w:tr>
      <w:tr>
        <w:trPr>
          <w:cantSplit w:val="0"/>
          <w:tblHeader w:val="0"/>
        </w:trPr>
        <w:tc>
          <w:tcPr>
            <w:shd w:fill="f1f5f9" w:val="clear"/>
            <w:tcMar>
              <w:top w:w="120.0" w:type="dxa"/>
              <w:left w:w="160.0" w:type="dxa"/>
              <w:bottom w:w="120.0" w:type="dxa"/>
              <w:right w:w="16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b365d"/>
                <w:sz w:val="19"/>
                <w:szCs w:val="19"/>
              </w:rPr>
            </w:pPr>
            <w:r w:rsidDel="00000000" w:rsidR="00000000" w:rsidRPr="00000000">
              <w:rPr>
                <w:rFonts w:ascii="Arial" w:cs="Arial" w:eastAsia="Arial" w:hAnsi="Arial"/>
                <w:b w:val="1"/>
                <w:bCs w:val="1"/>
                <w:color w:val="1b365d"/>
                <w:sz w:val="19"/>
                <w:szCs w:val="19"/>
                <w:rtl w:val="0"/>
              </w:rPr>
              <w:t xml:space="preserve">Story Points Entregados</w:t>
            </w:r>
          </w:p>
        </w:tc>
        <w:tc>
          <w:tcPr>
            <w:shd w:fill="f8fafc" w:val="clear"/>
            <w:tcMar>
              <w:top w:w="120.0" w:type="dxa"/>
              <w:left w:w="160.0" w:type="dxa"/>
              <w:bottom w:w="120.0" w:type="dxa"/>
              <w:right w:w="16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46 de 46 Story Points finalizados (100%)</w:t>
            </w:r>
          </w:p>
        </w:tc>
      </w:tr>
      <w:tr>
        <w:trPr>
          <w:cantSplit w:val="0"/>
          <w:tblHeader w:val="0"/>
        </w:trPr>
        <w:tc>
          <w:tcPr>
            <w:shd w:fill="f1f5f9" w:val="clear"/>
            <w:tcMar>
              <w:top w:w="120.0" w:type="dxa"/>
              <w:left w:w="160.0" w:type="dxa"/>
              <w:bottom w:w="120.0" w:type="dxa"/>
              <w:right w:w="16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b365d"/>
                <w:sz w:val="19"/>
                <w:szCs w:val="19"/>
              </w:rPr>
            </w:pPr>
            <w:r w:rsidDel="00000000" w:rsidR="00000000" w:rsidRPr="00000000">
              <w:rPr>
                <w:rFonts w:ascii="Arial" w:cs="Arial" w:eastAsia="Arial" w:hAnsi="Arial"/>
                <w:b w:val="1"/>
                <w:bCs w:val="1"/>
                <w:color w:val="1b365d"/>
                <w:sz w:val="19"/>
                <w:szCs w:val="19"/>
                <w:rtl w:val="0"/>
              </w:rPr>
              <w:t xml:space="preserve">Velocidad Media del Sprint (Velocity)</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4.6 Story Points / día hábil (46 SP ejecutados en 10 días hábiles)</w:t>
            </w:r>
          </w:p>
        </w:tc>
      </w:tr>
      <w:tr>
        <w:trPr>
          <w:cantSplit w:val="0"/>
          <w:tblHeader w:val="0"/>
        </w:trPr>
        <w:tc>
          <w:tcPr>
            <w:shd w:fill="f1f5f9" w:val="clear"/>
            <w:tcMar>
              <w:top w:w="120.0" w:type="dxa"/>
              <w:left w:w="160.0" w:type="dxa"/>
              <w:bottom w:w="120.0" w:type="dxa"/>
              <w:right w:w="16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b365d"/>
                <w:sz w:val="19"/>
                <w:szCs w:val="19"/>
              </w:rPr>
            </w:pPr>
            <w:r w:rsidDel="00000000" w:rsidR="00000000" w:rsidRPr="00000000">
              <w:rPr>
                <w:rFonts w:ascii="Arial" w:cs="Arial" w:eastAsia="Arial" w:hAnsi="Arial"/>
                <w:b w:val="1"/>
                <w:bCs w:val="1"/>
                <w:color w:val="1b365d"/>
                <w:sz w:val="19"/>
                <w:szCs w:val="19"/>
                <w:rtl w:val="0"/>
              </w:rPr>
              <w:t xml:space="preserve">Porcentaje de Cumplimiento del Sprint Backlog</w:t>
            </w:r>
          </w:p>
        </w:tc>
        <w:tc>
          <w:tcPr>
            <w:shd w:fill="f8fafc" w:val="clear"/>
            <w:tcMar>
              <w:top w:w="120.0" w:type="dxa"/>
              <w:left w:w="160.0" w:type="dxa"/>
              <w:bottom w:w="120.0" w:type="dxa"/>
              <w:right w:w="16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100% de cumplimiento frente a la planificación inicial</w:t>
            </w:r>
          </w:p>
        </w:tc>
      </w:tr>
      <w:tr>
        <w:trPr>
          <w:cantSplit w:val="0"/>
          <w:tblHeader w:val="0"/>
        </w:trPr>
        <w:tc>
          <w:tcPr>
            <w:shd w:fill="f1f5f9" w:val="clear"/>
            <w:tcMar>
              <w:top w:w="120.0" w:type="dxa"/>
              <w:left w:w="160.0" w:type="dxa"/>
              <w:bottom w:w="120.0" w:type="dxa"/>
              <w:right w:w="16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b365d"/>
                <w:sz w:val="19"/>
                <w:szCs w:val="19"/>
              </w:rPr>
            </w:pPr>
            <w:r w:rsidDel="00000000" w:rsidR="00000000" w:rsidRPr="00000000">
              <w:rPr>
                <w:rFonts w:ascii="Arial" w:cs="Arial" w:eastAsia="Arial" w:hAnsi="Arial"/>
                <w:b w:val="1"/>
                <w:bCs w:val="1"/>
                <w:color w:val="1b365d"/>
                <w:sz w:val="19"/>
                <w:szCs w:val="19"/>
                <w:rtl w:val="0"/>
              </w:rPr>
              <w:t xml:space="preserve">Defectos Críticos Residuales en Producción</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0 bugs bloqueantes o críticos</w:t>
            </w:r>
          </w:p>
        </w:tc>
      </w:tr>
    </w:tbl>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e40af"/>
          <w:sz w:val="23"/>
          <w:szCs w:val="23"/>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rial" w:cs="Arial" w:eastAsia="Arial" w:hAnsi="Arial"/>
          <w:b w:val="1"/>
          <w:bCs w:val="1"/>
          <w:color w:val="1e40af"/>
          <w:sz w:val="12"/>
          <w:szCs w:val="12"/>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w:cs="Arial" w:eastAsia="Arial" w:hAnsi="Arial"/>
          <w:b w:val="0"/>
          <w:bCs w:val="0"/>
          <w:color w:val="1f2937"/>
          <w:sz w:val="21"/>
          <w:szCs w:val="21"/>
        </w:rPr>
      </w:pPr>
      <w:r w:rsidDel="00000000" w:rsidR="00000000" w:rsidRPr="00000000">
        <w:rPr>
          <w:rFonts w:ascii="Arial" w:cs="Arial" w:eastAsia="Arial" w:hAnsi="Arial"/>
          <w:b w:val="0"/>
          <w:bCs w:val="0"/>
          <w:color w:val="1f2937"/>
          <w:sz w:val="21"/>
          <w:szCs w:val="21"/>
          <w:rtl w:val="0"/>
        </w:rPr>
        <w:t xml:space="preserve">El 100% de las Historias de Usuario comprometidas para el Sprint 1 fueron concluidas cumpliendo rigurosamente con la Definición de Terminado (Definition of Done – DoD) [7]: criterios de aceptación verificados bajo sintaxis BDD (Given-When-Then), revisión de código mediante Pull Requests en develop, pruebas unitarias automatizadas en Jest aprobadas y despliegue operativo en los entornos cloud de Vercel, Render y Neon.</w:t>
      </w:r>
    </w:p>
    <w:p w:rsidR="00000000" w:rsidDel="00000000" w:rsidP="00000000" w:rsidRDefault="00000000" w:rsidRPr="00000000" w14:paraId="000000DF">
      <w:pPr>
        <w:pStyle w:val="Heading3"/>
        <w:spacing w:after="80" w:before="200" w:lineRule="auto"/>
        <w:rPr>
          <w:rFonts w:ascii="Arial" w:cs="Arial" w:eastAsia="Arial" w:hAnsi="Arial"/>
          <w:b w:val="1"/>
          <w:bCs w:val="1"/>
          <w:color w:val="334155"/>
          <w:sz w:val="21"/>
          <w:szCs w:val="21"/>
        </w:rPr>
      </w:pPr>
      <w:bookmarkStart w:colFirst="0" w:colLast="0" w:name="_5k4x0vqj4g4t" w:id="21"/>
      <w:bookmarkEnd w:id="21"/>
      <w:r w:rsidDel="00000000" w:rsidR="00000000" w:rsidRPr="00000000">
        <w:rPr>
          <w:rFonts w:ascii="Arial" w:cs="Arial" w:eastAsia="Arial" w:hAnsi="Arial"/>
          <w:b w:val="1"/>
          <w:bCs w:val="1"/>
          <w:color w:val="334155"/>
          <w:sz w:val="21"/>
          <w:szCs w:val="21"/>
          <w:rtl w:val="0"/>
        </w:rPr>
        <w:t xml:space="preserve">Verificación de Avance de Desarrollo:</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Totalidad de las Historias de Usuario del Sprint 1 completadas al 100%.</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Criterios de aceptación BDD verificados funcional y automáticamente.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Avance tangible en el repositorio GitHub y en el despliegue en producción.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Suites de pruebas unitarias aprobadas para cada historia implementada.</w:t>
      </w:r>
    </w:p>
    <w:p w:rsidR="00000000" w:rsidDel="00000000" w:rsidP="00000000" w:rsidRDefault="00000000" w:rsidRPr="00000000" w14:paraId="000000E4">
      <w:pPr>
        <w:pStyle w:val="Heading1"/>
        <w:spacing w:after="160" w:before="360" w:lineRule="auto"/>
        <w:rPr>
          <w:rFonts w:ascii="Arial" w:cs="Arial" w:eastAsia="Arial" w:hAnsi="Arial"/>
          <w:b w:val="1"/>
          <w:bCs w:val="1"/>
          <w:color w:val="1b365d"/>
          <w:sz w:val="28"/>
          <w:szCs w:val="28"/>
        </w:rPr>
      </w:pPr>
      <w:bookmarkStart w:colFirst="0" w:colLast="0" w:name="_vjpvjcna7jmu" w:id="22"/>
      <w:bookmarkEnd w:id="22"/>
      <w:r w:rsidDel="00000000" w:rsidR="00000000" w:rsidRPr="00000000">
        <w:rPr>
          <w:rFonts w:ascii="Arial" w:cs="Arial" w:eastAsia="Arial" w:hAnsi="Arial"/>
          <w:b w:val="1"/>
          <w:bCs w:val="1"/>
          <w:color w:val="1b365d"/>
          <w:sz w:val="28"/>
          <w:szCs w:val="28"/>
          <w:rtl w:val="0"/>
        </w:rPr>
        <w:t xml:space="preserve">6. Revisión Técnica de Código — Code Walkthrough (15% según Rúbrica)</w:t>
      </w:r>
    </w:p>
    <w:p w:rsidR="00000000" w:rsidDel="00000000" w:rsidP="00000000" w:rsidRDefault="00000000" w:rsidRPr="00000000" w14:paraId="000000E5">
      <w:pPr>
        <w:pStyle w:val="Heading2"/>
        <w:spacing w:after="120" w:before="280" w:lineRule="auto"/>
        <w:rPr>
          <w:rFonts w:ascii="Arial" w:cs="Arial" w:eastAsia="Arial" w:hAnsi="Arial"/>
          <w:b w:val="1"/>
          <w:bCs w:val="1"/>
          <w:color w:val="1e40af"/>
          <w:sz w:val="23"/>
          <w:szCs w:val="23"/>
        </w:rPr>
      </w:pPr>
      <w:bookmarkStart w:colFirst="0" w:colLast="0" w:name="_enktf3ra3nkd" w:id="23"/>
      <w:bookmarkEnd w:id="23"/>
      <w:r w:rsidDel="00000000" w:rsidR="00000000" w:rsidRPr="00000000">
        <w:rPr>
          <w:rFonts w:ascii="Arial" w:cs="Arial" w:eastAsia="Arial" w:hAnsi="Arial"/>
          <w:b w:val="1"/>
          <w:bCs w:val="1"/>
          <w:color w:val="1e40af"/>
          <w:sz w:val="23"/>
          <w:szCs w:val="23"/>
          <w:rtl w:val="0"/>
        </w:rPr>
        <w:t xml:space="preserve">6.1. Estructura de la Sesión y Distribución por Integrante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w:cs="Arial" w:eastAsia="Arial" w:hAnsi="Arial"/>
          <w:b w:val="0"/>
          <w:bCs w:val="0"/>
          <w:color w:val="1f2937"/>
          <w:sz w:val="21"/>
          <w:szCs w:val="21"/>
        </w:rPr>
      </w:pPr>
      <w:r w:rsidDel="00000000" w:rsidR="00000000" w:rsidRPr="00000000">
        <w:rPr>
          <w:rFonts w:ascii="Arial" w:cs="Arial" w:eastAsia="Arial" w:hAnsi="Arial"/>
          <w:b w:val="0"/>
          <w:bCs w:val="0"/>
          <w:color w:val="1f2937"/>
          <w:sz w:val="21"/>
          <w:szCs w:val="21"/>
          <w:rtl w:val="0"/>
        </w:rPr>
        <w:t xml:space="preserve">La sustentación técnica de código se organiza en cinco bloques cronometrados: (1) Introducción arquitectónica al módulo [2 min], (2) Trazabilidad del flujo principal de datos [3 min], (3) Gestión de excepciones y casos borde [2 min], (4) Evidencia de pruebas unitarias y cobertura [2 min], y (5) Ronda de preguntas técnicas del docente [5 min].</w:t>
      </w:r>
    </w:p>
    <w:tbl>
      <w:tblPr>
        <w:tblStyle w:val="Table8"/>
        <w:tblW w:w="960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2300"/>
        <w:gridCol w:w="2300"/>
        <w:gridCol w:w="5000"/>
        <w:tblGridChange w:id="0">
          <w:tblGrid>
            <w:gridCol w:w="2300"/>
            <w:gridCol w:w="2300"/>
            <w:gridCol w:w="5000"/>
          </w:tblGrid>
        </w:tblGridChange>
      </w:tblGrid>
      <w:tr>
        <w:trPr>
          <w:cantSplit w:val="0"/>
          <w:tblHeader w:val="0"/>
        </w:trPr>
        <w:tc>
          <w:tcPr>
            <w:shd w:fill="1b365d" w:val="clear"/>
            <w:tcMar>
              <w:top w:w="120.0" w:type="dxa"/>
              <w:left w:w="160.0" w:type="dxa"/>
              <w:bottom w:w="120.0" w:type="dxa"/>
              <w:right w:w="160.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Dominio Técnico</w:t>
            </w:r>
          </w:p>
        </w:tc>
        <w:tc>
          <w:tcPr>
            <w:shd w:fill="1b365d" w:val="clear"/>
            <w:tcMar>
              <w:top w:w="120.0" w:type="dxa"/>
              <w:left w:w="160.0" w:type="dxa"/>
              <w:bottom w:w="120.0" w:type="dxa"/>
              <w:right w:w="16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Integrante Responsable</w:t>
            </w:r>
          </w:p>
        </w:tc>
        <w:tc>
          <w:tcPr>
            <w:shd w:fill="1b365d" w:val="clear"/>
            <w:tcMar>
              <w:top w:w="120.0" w:type="dxa"/>
              <w:left w:w="160.0" w:type="dxa"/>
              <w:bottom w:w="120.0" w:type="dxa"/>
              <w:right w:w="160.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Módulos y Componentes Arquitectónicos a Sustentar</w:t>
            </w:r>
          </w:p>
        </w:tc>
      </w:tr>
      <w:tr>
        <w:trPr>
          <w:cantSplit w:val="0"/>
          <w:tblHeader w:val="0"/>
        </w:trPr>
        <w:tc>
          <w:tcPr>
            <w:shd w:fill="ffffff" w:val="clear"/>
            <w:tcMar>
              <w:top w:w="120.0" w:type="dxa"/>
              <w:left w:w="160.0" w:type="dxa"/>
              <w:bottom w:w="120.0" w:type="dxa"/>
              <w:right w:w="16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f2937"/>
                <w:sz w:val="19"/>
                <w:szCs w:val="19"/>
              </w:rPr>
            </w:pPr>
            <w:r w:rsidDel="00000000" w:rsidR="00000000" w:rsidRPr="00000000">
              <w:rPr>
                <w:rFonts w:ascii="Arial" w:cs="Arial" w:eastAsia="Arial" w:hAnsi="Arial"/>
                <w:b w:val="1"/>
                <w:bCs w:val="1"/>
                <w:color w:val="1f2937"/>
                <w:sz w:val="19"/>
                <w:szCs w:val="19"/>
                <w:rtl w:val="0"/>
              </w:rPr>
              <w:t xml:space="preserve">Backend, Persistencia y Seguridad Cloud</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Juan Esteban Martínez</w:t>
            </w:r>
          </w:p>
        </w:tc>
        <w:tc>
          <w:tcPr>
            <w:shd w:fill="ffffff" w:val="clear"/>
            <w:tcMar>
              <w:top w:w="120.0" w:type="dxa"/>
              <w:left w:w="160.0" w:type="dxa"/>
              <w:bottom w:w="120.0" w:type="dxa"/>
              <w:right w:w="16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Arquitectura modular en NestJS 12, transaccionalidad ACID con Prisma (prisma.$transaction), guardias de autorización RBAC (RolesGuard), endurecimiento HTTP con Helmet y suites de pruebas unitarias automatizadas en Jest.</w:t>
            </w:r>
          </w:p>
        </w:tc>
      </w:tr>
      <w:tr>
        <w:trPr>
          <w:cantSplit w:val="0"/>
          <w:tblHeader w:val="0"/>
        </w:trPr>
        <w:tc>
          <w:tcPr>
            <w:shd w:fill="f8fafc" w:val="clear"/>
            <w:tcMar>
              <w:top w:w="120.0" w:type="dxa"/>
              <w:left w:w="160.0" w:type="dxa"/>
              <w:bottom w:w="120.0" w:type="dxa"/>
              <w:right w:w="16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f2937"/>
                <w:sz w:val="19"/>
                <w:szCs w:val="19"/>
              </w:rPr>
            </w:pPr>
            <w:r w:rsidDel="00000000" w:rsidR="00000000" w:rsidRPr="00000000">
              <w:rPr>
                <w:rFonts w:ascii="Arial" w:cs="Arial" w:eastAsia="Arial" w:hAnsi="Arial"/>
                <w:b w:val="1"/>
                <w:bCs w:val="1"/>
                <w:color w:val="1f2937"/>
                <w:sz w:val="19"/>
                <w:szCs w:val="19"/>
                <w:rtl w:val="0"/>
              </w:rPr>
              <w:t xml:space="preserve">Frontend Reactivo, UI/UX e Integración REST</w:t>
            </w:r>
          </w:p>
        </w:tc>
        <w:tc>
          <w:tcPr>
            <w:shd w:fill="f8fafc" w:val="clear"/>
            <w:tcMar>
              <w:top w:w="120.0" w:type="dxa"/>
              <w:left w:w="160.0" w:type="dxa"/>
              <w:bottom w:w="120.0" w:type="dxa"/>
              <w:right w:w="16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Daniel Muñoz Piedrahita</w:t>
            </w:r>
          </w:p>
        </w:tc>
        <w:tc>
          <w:tcPr>
            <w:shd w:fill="f8fafc" w:val="clear"/>
            <w:tcMar>
              <w:top w:w="120.0" w:type="dxa"/>
              <w:left w:w="160.0" w:type="dxa"/>
              <w:bottom w:w="120.0" w:type="dxa"/>
              <w:right w:w="16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Arquitectura Angular 22 con Standalone Components, gestión de estado reactivo mediante Signals y RxJS en el visor de cocina (KDS) y mapa de mesas, consumo tipado de API con interceptores JWT y diseño responsivo en SCSS.</w:t>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color w:val="1f2937"/>
          <w:sz w:val="21"/>
          <w:szCs w:val="21"/>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rial" w:cs="Arial" w:eastAsia="Arial" w:hAnsi="Arial"/>
          <w:b w:val="0"/>
          <w:bCs w:val="0"/>
          <w:color w:val="1f2937"/>
          <w:sz w:val="12"/>
          <w:szCs w:val="12"/>
        </w:rPr>
      </w:pPr>
      <w:r w:rsidDel="00000000" w:rsidR="00000000" w:rsidRPr="00000000">
        <w:rPr>
          <w:rtl w:val="0"/>
        </w:rPr>
      </w:r>
    </w:p>
    <w:p w:rsidR="00000000" w:rsidDel="00000000" w:rsidP="00000000" w:rsidRDefault="00000000" w:rsidRPr="00000000" w14:paraId="000000F2">
      <w:pPr>
        <w:pStyle w:val="Heading2"/>
        <w:spacing w:after="120" w:before="280" w:lineRule="auto"/>
        <w:rPr>
          <w:rFonts w:ascii="Arial" w:cs="Arial" w:eastAsia="Arial" w:hAnsi="Arial"/>
          <w:b w:val="1"/>
          <w:bCs w:val="1"/>
          <w:color w:val="1e40af"/>
          <w:sz w:val="23"/>
          <w:szCs w:val="23"/>
        </w:rPr>
      </w:pPr>
      <w:bookmarkStart w:colFirst="0" w:colLast="0" w:name="_ndojslpqw4ch" w:id="24"/>
      <w:bookmarkEnd w:id="24"/>
      <w:r w:rsidDel="00000000" w:rsidR="00000000" w:rsidRPr="00000000">
        <w:rPr>
          <w:rFonts w:ascii="Arial" w:cs="Arial" w:eastAsia="Arial" w:hAnsi="Arial"/>
          <w:b w:val="1"/>
          <w:bCs w:val="1"/>
          <w:color w:val="1e40af"/>
          <w:sz w:val="23"/>
          <w:szCs w:val="23"/>
          <w:rtl w:val="0"/>
        </w:rPr>
        <w:t xml:space="preserve">6.2. Sustentación de Decisiones Arquitectónicas y Patrones de Diseño</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w:cs="Arial" w:eastAsia="Arial" w:hAnsi="Arial"/>
          <w:b w:val="0"/>
          <w:bCs w:val="0"/>
          <w:color w:val="1f2937"/>
          <w:sz w:val="21"/>
          <w:szCs w:val="21"/>
        </w:rPr>
      </w:pPr>
      <w:r w:rsidDel="00000000" w:rsidR="00000000" w:rsidRPr="00000000">
        <w:rPr>
          <w:rFonts w:ascii="Arial" w:cs="Arial" w:eastAsia="Arial" w:hAnsi="Arial"/>
          <w:b w:val="0"/>
          <w:bCs w:val="0"/>
          <w:color w:val="1f2937"/>
          <w:sz w:val="21"/>
          <w:szCs w:val="21"/>
          <w:rtl w:val="0"/>
        </w:rPr>
        <w:t xml:space="preserve">El diseño interno de MesaLista se fundamenta en cinco patrones de ingeniería de software que garantizan bajo acoplamiento y alta cohesión [2], [3], [5]:</w:t>
      </w:r>
    </w:p>
    <w:p w:rsidR="00000000" w:rsidDel="00000000" w:rsidP="00000000" w:rsidRDefault="00000000" w:rsidRPr="00000000" w14:paraId="000000F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Fonts w:ascii="Arial" w:cs="Arial" w:eastAsia="Arial" w:hAnsi="Arial"/>
          <w:b w:val="1"/>
          <w:bCs w:val="1"/>
          <w:color w:val="1f2937"/>
          <w:sz w:val="21"/>
          <w:szCs w:val="21"/>
          <w:rtl w:val="0"/>
        </w:rPr>
        <w:t xml:space="preserve">1. Patrón de Inyección de Dependencias e Inversión de Control (IoC): </w:t>
      </w:r>
      <w:r w:rsidDel="00000000" w:rsidR="00000000" w:rsidRPr="00000000">
        <w:rPr>
          <w:rFonts w:ascii="Arial" w:cs="Arial" w:eastAsia="Arial" w:hAnsi="Arial"/>
          <w:b w:val="0"/>
          <w:bCs w:val="0"/>
          <w:color w:val="1f2937"/>
          <w:sz w:val="21"/>
          <w:szCs w:val="21"/>
          <w:rtl w:val="0"/>
        </w:rPr>
        <w:t xml:space="preserve">Implementado a través del contenedor de NestJS [3] para desacoplar los controladores HTTP de la lógica de negocio y permitir el aislamiento de PrismaService mediante objetos simulados (mocks) durante las pruebas unitarias.</w:t>
      </w:r>
    </w:p>
    <w:p w:rsidR="00000000" w:rsidDel="00000000" w:rsidP="00000000" w:rsidRDefault="00000000" w:rsidRPr="00000000" w14:paraId="000000F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Fonts w:ascii="Arial" w:cs="Arial" w:eastAsia="Arial" w:hAnsi="Arial"/>
          <w:b w:val="1"/>
          <w:bCs w:val="1"/>
          <w:color w:val="1f2937"/>
          <w:sz w:val="21"/>
          <w:szCs w:val="21"/>
          <w:rtl w:val="0"/>
        </w:rPr>
        <w:t xml:space="preserve">2. Patrón Data Transfer Object (DTO) con Validación Declarativa: </w:t>
      </w:r>
      <w:r w:rsidDel="00000000" w:rsidR="00000000" w:rsidRPr="00000000">
        <w:rPr>
          <w:rFonts w:ascii="Arial" w:cs="Arial" w:eastAsia="Arial" w:hAnsi="Arial"/>
          <w:b w:val="0"/>
          <w:bCs w:val="0"/>
          <w:color w:val="1f2937"/>
          <w:sz w:val="21"/>
          <w:szCs w:val="21"/>
          <w:rtl w:val="0"/>
        </w:rPr>
        <w:t xml:space="preserve">Estandarización de contratos de entrada mediante class-validator y ValidationPipe global en modo whitelist, previniendo vulnerabilidades de Mass Assignment [3].</w:t>
      </w:r>
    </w:p>
    <w:p w:rsidR="00000000" w:rsidDel="00000000" w:rsidP="00000000" w:rsidRDefault="00000000" w:rsidRPr="00000000" w14:paraId="000000F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Fonts w:ascii="Arial" w:cs="Arial" w:eastAsia="Arial" w:hAnsi="Arial"/>
          <w:b w:val="1"/>
          <w:bCs w:val="1"/>
          <w:color w:val="1f2937"/>
          <w:sz w:val="21"/>
          <w:szCs w:val="21"/>
          <w:rtl w:val="0"/>
        </w:rPr>
        <w:t xml:space="preserve">3. Patrón Transaccional Unit of Work: </w:t>
      </w:r>
      <w:r w:rsidDel="00000000" w:rsidR="00000000" w:rsidRPr="00000000">
        <w:rPr>
          <w:rFonts w:ascii="Arial" w:cs="Arial" w:eastAsia="Arial" w:hAnsi="Arial"/>
          <w:b w:val="0"/>
          <w:bCs w:val="0"/>
          <w:color w:val="1f2937"/>
          <w:sz w:val="21"/>
          <w:szCs w:val="21"/>
          <w:rtl w:val="0"/>
        </w:rPr>
        <w:t xml:space="preserve">Ejecutado mediante bloques prisma.$transaction en la anulación de facturas, liquidación de pedidos con pagos combinados y cierres de caja, garantizando propiedades ACID y rollback automático ante fallos intermedios [5].</w:t>
      </w:r>
    </w:p>
    <w:p w:rsidR="00000000" w:rsidDel="00000000" w:rsidP="00000000" w:rsidRDefault="00000000" w:rsidRPr="00000000" w14:paraId="000000F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Fonts w:ascii="Arial" w:cs="Arial" w:eastAsia="Arial" w:hAnsi="Arial"/>
          <w:b w:val="1"/>
          <w:bCs w:val="1"/>
          <w:color w:val="1f2937"/>
          <w:sz w:val="21"/>
          <w:szCs w:val="21"/>
          <w:rtl w:val="0"/>
        </w:rPr>
        <w:t xml:space="preserve">4. Patrón de Estado Reactivo de Grano Fino con Angular Signals: </w:t>
      </w:r>
      <w:r w:rsidDel="00000000" w:rsidR="00000000" w:rsidRPr="00000000">
        <w:rPr>
          <w:rFonts w:ascii="Arial" w:cs="Arial" w:eastAsia="Arial" w:hAnsi="Arial"/>
          <w:b w:val="0"/>
          <w:bCs w:val="0"/>
          <w:color w:val="1f2937"/>
          <w:sz w:val="21"/>
          <w:szCs w:val="21"/>
          <w:rtl w:val="0"/>
        </w:rPr>
        <w:t xml:space="preserve">Adopción de señales reactivas (signal, computed) en Angular 22 [2] para actualizar instantáneamente el mapa de mesas y el visor KDS sin disparar ciclos globales innecesarios de detección de cambios.</w:t>
      </w:r>
    </w:p>
    <w:p w:rsidR="00000000" w:rsidDel="00000000" w:rsidP="00000000" w:rsidRDefault="00000000" w:rsidRPr="00000000" w14:paraId="000000F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pPr>
      <w:r w:rsidDel="00000000" w:rsidR="00000000" w:rsidRPr="00000000">
        <w:rPr>
          <w:rFonts w:ascii="Arial" w:cs="Arial" w:eastAsia="Arial" w:hAnsi="Arial"/>
          <w:b w:val="1"/>
          <w:bCs w:val="1"/>
          <w:color w:val="1f2937"/>
          <w:sz w:val="21"/>
          <w:szCs w:val="21"/>
          <w:rtl w:val="0"/>
        </w:rPr>
        <w:t xml:space="preserve">5. Manejo Centralizado de Excepciones (Exception Shielding): </w:t>
      </w:r>
      <w:r w:rsidDel="00000000" w:rsidR="00000000" w:rsidRPr="00000000">
        <w:rPr>
          <w:rFonts w:ascii="Arial" w:cs="Arial" w:eastAsia="Arial" w:hAnsi="Arial"/>
          <w:b w:val="0"/>
          <w:bCs w:val="0"/>
          <w:color w:val="1f2937"/>
          <w:sz w:val="21"/>
          <w:szCs w:val="21"/>
          <w:rtl w:val="0"/>
        </w:rPr>
        <w:t xml:space="preserve">Implementación de PrismaExceptionFilter para interceptar errores de persistencia y transformarlos en respuestas HTTP semánticas (409 Conflict, 404 Not Found), impidiendo la fuga de stack traces hacia el cliente [10].</w:t>
      </w:r>
    </w:p>
    <w:p w:rsidR="00000000" w:rsidDel="00000000" w:rsidP="00000000" w:rsidRDefault="00000000" w:rsidRPr="00000000" w14:paraId="000000F9">
      <w:pPr>
        <w:pStyle w:val="Heading3"/>
        <w:spacing w:after="80" w:before="200" w:lineRule="auto"/>
        <w:rPr>
          <w:rFonts w:ascii="Arial" w:cs="Arial" w:eastAsia="Arial" w:hAnsi="Arial"/>
          <w:b w:val="1"/>
          <w:bCs w:val="1"/>
          <w:color w:val="334155"/>
          <w:sz w:val="21"/>
          <w:szCs w:val="21"/>
        </w:rPr>
      </w:pPr>
      <w:bookmarkStart w:colFirst="0" w:colLast="0" w:name="_oznhl3yp8c05" w:id="25"/>
      <w:bookmarkEnd w:id="25"/>
      <w:r w:rsidDel="00000000" w:rsidR="00000000" w:rsidRPr="00000000">
        <w:rPr>
          <w:rFonts w:ascii="Arial" w:cs="Arial" w:eastAsia="Arial" w:hAnsi="Arial"/>
          <w:b w:val="1"/>
          <w:bCs w:val="1"/>
          <w:color w:val="334155"/>
          <w:sz w:val="21"/>
          <w:szCs w:val="21"/>
          <w:rtl w:val="0"/>
        </w:rPr>
        <w:t xml:space="preserve">Verificación de Code Walkthrough:</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Explicación técnica estructurada, fluida y rigurosa.</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Dominio profundo demostrado sobre la lógica algorítmica y el flujo de datos.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Patrones arquitectónicos y de diseño justificados con evidencia en el código.</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Capacidad solvente para responder preguntas técnicas y de seguridad.</w:t>
      </w:r>
    </w:p>
    <w:p w:rsidR="00000000" w:rsidDel="00000000" w:rsidP="00000000" w:rsidRDefault="00000000" w:rsidRPr="00000000" w14:paraId="000000FE">
      <w:pPr>
        <w:pStyle w:val="Heading1"/>
        <w:spacing w:after="160" w:before="360" w:lineRule="auto"/>
        <w:rPr>
          <w:rFonts w:ascii="Arial" w:cs="Arial" w:eastAsia="Arial" w:hAnsi="Arial"/>
          <w:b w:val="1"/>
          <w:bCs w:val="1"/>
          <w:color w:val="1b365d"/>
          <w:sz w:val="28"/>
          <w:szCs w:val="28"/>
        </w:rPr>
      </w:pPr>
      <w:bookmarkStart w:colFirst="0" w:colLast="0" w:name="_nyk4dnm2njum" w:id="26"/>
      <w:bookmarkEnd w:id="26"/>
      <w:r w:rsidDel="00000000" w:rsidR="00000000" w:rsidRPr="00000000">
        <w:rPr>
          <w:rFonts w:ascii="Arial" w:cs="Arial" w:eastAsia="Arial" w:hAnsi="Arial"/>
          <w:b w:val="1"/>
          <w:bCs w:val="1"/>
          <w:color w:val="1b365d"/>
          <w:sz w:val="28"/>
          <w:szCs w:val="28"/>
          <w:rtl w:val="0"/>
        </w:rPr>
        <w:t xml:space="preserve">7. Plataforma de Gestión Ágil y Rotación de Roles (10% según Rúbrica)</w:t>
      </w:r>
    </w:p>
    <w:p w:rsidR="00000000" w:rsidDel="00000000" w:rsidP="00000000" w:rsidRDefault="00000000" w:rsidRPr="00000000" w14:paraId="000000FF">
      <w:pPr>
        <w:pStyle w:val="Heading2"/>
        <w:spacing w:after="120" w:before="280" w:lineRule="auto"/>
        <w:rPr>
          <w:rFonts w:ascii="Arial" w:cs="Arial" w:eastAsia="Arial" w:hAnsi="Arial"/>
          <w:b w:val="1"/>
          <w:bCs w:val="1"/>
          <w:color w:val="1e40af"/>
          <w:sz w:val="23"/>
          <w:szCs w:val="23"/>
        </w:rPr>
      </w:pPr>
      <w:bookmarkStart w:colFirst="0" w:colLast="0" w:name="_5lt7bgmq6st5" w:id="27"/>
      <w:bookmarkEnd w:id="27"/>
      <w:r w:rsidDel="00000000" w:rsidR="00000000" w:rsidRPr="00000000">
        <w:rPr>
          <w:rFonts w:ascii="Arial" w:cs="Arial" w:eastAsia="Arial" w:hAnsi="Arial"/>
          <w:b w:val="1"/>
          <w:bCs w:val="1"/>
          <w:color w:val="1e40af"/>
          <w:sz w:val="23"/>
          <w:szCs w:val="23"/>
          <w:rtl w:val="0"/>
        </w:rPr>
        <w:t xml:space="preserve">7.1. Evidencia de Uso Efectivo de la Plataforma Jira Software</w:t>
      </w:r>
    </w:p>
    <w:tbl>
      <w:tblPr>
        <w:tblStyle w:val="Table9"/>
        <w:tblW w:w="960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2680"/>
        <w:gridCol w:w="6920"/>
        <w:tblGridChange w:id="0">
          <w:tblGrid>
            <w:gridCol w:w="2680"/>
            <w:gridCol w:w="6920"/>
          </w:tblGrid>
        </w:tblGridChange>
      </w:tblGrid>
      <w:tr>
        <w:trPr>
          <w:cantSplit w:val="0"/>
          <w:tblHeader w:val="0"/>
        </w:trPr>
        <w:tc>
          <w:tcPr>
            <w:shd w:fill="1b365d" w:val="clear"/>
            <w:tcMar>
              <w:top w:w="120.0" w:type="dxa"/>
              <w:left w:w="160.0" w:type="dxa"/>
              <w:bottom w:w="120.0" w:type="dxa"/>
              <w:right w:w="160.0" w:type="dxa"/>
            </w:tcM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Artefacto / Mecanismo Ágil</w:t>
            </w:r>
          </w:p>
        </w:tc>
        <w:tc>
          <w:tcPr>
            <w:shd w:fill="1b365d" w:val="clear"/>
            <w:tcMar>
              <w:top w:w="120.0" w:type="dxa"/>
              <w:left w:w="160.0" w:type="dxa"/>
              <w:bottom w:w="120.0" w:type="dxa"/>
              <w:right w:w="160.0"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Evidencia de Gestión y Trazabilidad en Jira Software</w:t>
            </w:r>
          </w:p>
        </w:tc>
      </w:tr>
      <w:tr>
        <w:trPr>
          <w:cantSplit w:val="0"/>
          <w:tblHeader w:val="0"/>
        </w:trPr>
        <w:tc>
          <w:tcPr>
            <w:shd w:fill="f1f5f9" w:val="clear"/>
            <w:tcMar>
              <w:top w:w="120.0" w:type="dxa"/>
              <w:left w:w="160.0" w:type="dxa"/>
              <w:bottom w:w="120.0" w:type="dxa"/>
              <w:right w:w="16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b365d"/>
                <w:sz w:val="19"/>
                <w:szCs w:val="19"/>
              </w:rPr>
            </w:pPr>
            <w:r w:rsidDel="00000000" w:rsidR="00000000" w:rsidRPr="00000000">
              <w:rPr>
                <w:rFonts w:ascii="Arial" w:cs="Arial" w:eastAsia="Arial" w:hAnsi="Arial"/>
                <w:b w:val="1"/>
                <w:bCs w:val="1"/>
                <w:color w:val="1b365d"/>
                <w:sz w:val="19"/>
                <w:szCs w:val="19"/>
                <w:rtl w:val="0"/>
              </w:rPr>
              <w:t xml:space="preserve">Product Backlog</w:t>
            </w:r>
          </w:p>
        </w:tc>
        <w:tc>
          <w:tcPr>
            <w:shd w:fill="ffffff" w:val="clear"/>
            <w:tcMar>
              <w:top w:w="120.0" w:type="dxa"/>
              <w:left w:w="160.0" w:type="dxa"/>
              <w:bottom w:w="120.0" w:type="dxa"/>
              <w:right w:w="16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Unicode MS" w:cs="Arial Unicode MS" w:eastAsia="Arial Unicode MS" w:hAnsi="Arial Unicode MS"/>
                <w:b w:val="0"/>
                <w:bCs w:val="0"/>
                <w:color w:val="1f2937"/>
                <w:sz w:val="19"/>
                <w:szCs w:val="19"/>
                <w:rtl w:val="0"/>
              </w:rPr>
              <w:t xml:space="preserve">✅ Actualizado y Priorizado: Estructurado mediante épicas del sistema (Auth, Mesas, KDS, Caja, Domicilios y Facturación), con historias estimadas en Story Points (Fibonacci) y criterios BDD (Given-When-Then) [7].</w:t>
            </w:r>
          </w:p>
        </w:tc>
      </w:tr>
      <w:tr>
        <w:trPr>
          <w:cantSplit w:val="0"/>
          <w:tblHeader w:val="0"/>
        </w:trPr>
        <w:tc>
          <w:tcPr>
            <w:shd w:fill="f1f5f9" w:val="clear"/>
            <w:tcMar>
              <w:top w:w="120.0" w:type="dxa"/>
              <w:left w:w="160.0" w:type="dxa"/>
              <w:bottom w:w="120.0" w:type="dxa"/>
              <w:right w:w="16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b365d"/>
                <w:sz w:val="19"/>
                <w:szCs w:val="19"/>
              </w:rPr>
            </w:pPr>
            <w:r w:rsidDel="00000000" w:rsidR="00000000" w:rsidRPr="00000000">
              <w:rPr>
                <w:rFonts w:ascii="Arial" w:cs="Arial" w:eastAsia="Arial" w:hAnsi="Arial"/>
                <w:b w:val="1"/>
                <w:bCs w:val="1"/>
                <w:color w:val="1b365d"/>
                <w:sz w:val="19"/>
                <w:szCs w:val="19"/>
                <w:rtl w:val="0"/>
              </w:rPr>
              <w:t xml:space="preserve">Sprint Backlog</w:t>
            </w:r>
          </w:p>
        </w:tc>
        <w:tc>
          <w:tcPr>
            <w:shd w:fill="f8fafc" w:val="clear"/>
            <w:tcMar>
              <w:top w:w="120.0" w:type="dxa"/>
              <w:left w:w="160.0" w:type="dxa"/>
              <w:bottom w:w="120.0" w:type="dxa"/>
              <w:right w:w="16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Unicode MS" w:cs="Arial Unicode MS" w:eastAsia="Arial Unicode MS" w:hAnsi="Arial Unicode MS"/>
                <w:b w:val="0"/>
                <w:bCs w:val="0"/>
                <w:color w:val="1f2937"/>
                <w:sz w:val="19"/>
                <w:szCs w:val="19"/>
                <w:rtl w:val="0"/>
              </w:rPr>
              <w:t xml:space="preserve">✅ Desglose Técnico Detallado: Subdivisión granular de cada Historia de Usuario en tareas de ingeniería (migraciones Prisma, endpoints NestJS, vistas Angular y suites Jest).</w:t>
            </w:r>
          </w:p>
        </w:tc>
      </w:tr>
      <w:tr>
        <w:trPr>
          <w:cantSplit w:val="0"/>
          <w:tblHeader w:val="0"/>
        </w:trPr>
        <w:tc>
          <w:tcPr>
            <w:shd w:fill="f1f5f9" w:val="clear"/>
            <w:tcMar>
              <w:top w:w="120.0" w:type="dxa"/>
              <w:left w:w="160.0" w:type="dxa"/>
              <w:bottom w:w="120.0" w:type="dxa"/>
              <w:right w:w="16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b365d"/>
                <w:sz w:val="19"/>
                <w:szCs w:val="19"/>
              </w:rPr>
            </w:pPr>
            <w:r w:rsidDel="00000000" w:rsidR="00000000" w:rsidRPr="00000000">
              <w:rPr>
                <w:rFonts w:ascii="Arial" w:cs="Arial" w:eastAsia="Arial" w:hAnsi="Arial"/>
                <w:b w:val="1"/>
                <w:bCs w:val="1"/>
                <w:color w:val="1b365d"/>
                <w:sz w:val="19"/>
                <w:szCs w:val="19"/>
                <w:rtl w:val="0"/>
              </w:rPr>
              <w:t xml:space="preserve">Burndown Chart</w:t>
            </w:r>
          </w:p>
        </w:tc>
        <w:tc>
          <w:tcPr>
            <w:shd w:fill="ffffff" w:val="clear"/>
            <w:tcMar>
              <w:top w:w="120.0" w:type="dxa"/>
              <w:left w:w="160.0" w:type="dxa"/>
              <w:bottom w:w="120.0" w:type="dxa"/>
              <w:right w:w="16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Unicode MS" w:cs="Arial Unicode MS" w:eastAsia="Arial Unicode MS" w:hAnsi="Arial Unicode MS"/>
                <w:b w:val="0"/>
                <w:bCs w:val="0"/>
                <w:color w:val="1f2937"/>
                <w:sz w:val="19"/>
                <w:szCs w:val="19"/>
                <w:rtl w:val="0"/>
              </w:rPr>
              <w:t xml:space="preserve">✅ Monitoreo de Avance Real: Progresión constante desde los 46 SP iniciales hasta 0 SP a lo largo de los 10 días hábiles del Sprint 1.</w:t>
            </w:r>
          </w:p>
        </w:tc>
      </w:tr>
      <w:tr>
        <w:trPr>
          <w:cantSplit w:val="0"/>
          <w:tblHeader w:val="0"/>
        </w:trPr>
        <w:tc>
          <w:tcPr>
            <w:shd w:fill="f1f5f9" w:val="clear"/>
            <w:tcMar>
              <w:top w:w="120.0" w:type="dxa"/>
              <w:left w:w="160.0" w:type="dxa"/>
              <w:bottom w:w="120.0" w:type="dxa"/>
              <w:right w:w="16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b365d"/>
                <w:sz w:val="19"/>
                <w:szCs w:val="19"/>
              </w:rPr>
            </w:pPr>
            <w:r w:rsidDel="00000000" w:rsidR="00000000" w:rsidRPr="00000000">
              <w:rPr>
                <w:rFonts w:ascii="Arial" w:cs="Arial" w:eastAsia="Arial" w:hAnsi="Arial"/>
                <w:b w:val="1"/>
                <w:bCs w:val="1"/>
                <w:color w:val="1b365d"/>
                <w:sz w:val="19"/>
                <w:szCs w:val="19"/>
                <w:rtl w:val="0"/>
              </w:rPr>
              <w:t xml:space="preserve">Flujo de Estados (Workflow)</w:t>
            </w:r>
          </w:p>
        </w:tc>
        <w:tc>
          <w:tcPr>
            <w:shd w:fill="f8fafc" w:val="clear"/>
            <w:tcMar>
              <w:top w:w="120.0" w:type="dxa"/>
              <w:left w:w="160.0" w:type="dxa"/>
              <w:bottom w:w="120.0" w:type="dxa"/>
              <w:right w:w="16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Unicode MS" w:cs="Arial Unicode MS" w:eastAsia="Arial Unicode MS" w:hAnsi="Arial Unicode MS"/>
                <w:b w:val="0"/>
                <w:bCs w:val="0"/>
                <w:color w:val="1f2937"/>
                <w:sz w:val="19"/>
                <w:szCs w:val="19"/>
                <w:rtl w:val="0"/>
              </w:rPr>
              <w:t xml:space="preserve">✅ Trazabilidad en Historial: Transición rigurosa de cada incidencia a través de las columnas: To Do -&gt; In Progress -&gt; Code Review / PR -&gt; Done.</w:t>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e40af"/>
          <w:sz w:val="23"/>
          <w:szCs w:val="23"/>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rial" w:cs="Arial" w:eastAsia="Arial" w:hAnsi="Arial"/>
          <w:b w:val="1"/>
          <w:bCs w:val="1"/>
          <w:color w:val="1e40af"/>
          <w:sz w:val="12"/>
          <w:szCs w:val="12"/>
        </w:rPr>
      </w:pPr>
      <w:r w:rsidDel="00000000" w:rsidR="00000000" w:rsidRPr="00000000">
        <w:rPr>
          <w:rtl w:val="0"/>
        </w:rPr>
      </w:r>
    </w:p>
    <w:p w:rsidR="00000000" w:rsidDel="00000000" w:rsidP="00000000" w:rsidRDefault="00000000" w:rsidRPr="00000000" w14:paraId="0000010C">
      <w:pPr>
        <w:pStyle w:val="Heading2"/>
        <w:spacing w:after="120" w:before="280" w:lineRule="auto"/>
        <w:rPr>
          <w:rFonts w:ascii="Arial" w:cs="Arial" w:eastAsia="Arial" w:hAnsi="Arial"/>
          <w:b w:val="1"/>
          <w:bCs w:val="1"/>
          <w:color w:val="1e40af"/>
          <w:sz w:val="23"/>
          <w:szCs w:val="23"/>
        </w:rPr>
      </w:pPr>
      <w:bookmarkStart w:colFirst="0" w:colLast="0" w:name="_krce678l6aav" w:id="28"/>
      <w:bookmarkEnd w:id="28"/>
      <w:r w:rsidDel="00000000" w:rsidR="00000000" w:rsidRPr="00000000">
        <w:rPr>
          <w:rFonts w:ascii="Arial" w:cs="Arial" w:eastAsia="Arial" w:hAnsi="Arial"/>
          <w:b w:val="1"/>
          <w:bCs w:val="1"/>
          <w:color w:val="1e40af"/>
          <w:sz w:val="23"/>
          <w:szCs w:val="23"/>
          <w:rtl w:val="0"/>
        </w:rPr>
        <w:t xml:space="preserve">7.2. Esquema Oficial de Rotación de Roles (Sprint 1 -&gt; Sprint 2)</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w:cs="Arial" w:eastAsia="Arial" w:hAnsi="Arial"/>
          <w:b w:val="0"/>
          <w:bCs w:val="0"/>
          <w:color w:val="1f2937"/>
          <w:sz w:val="21"/>
          <w:szCs w:val="21"/>
        </w:rPr>
      </w:pPr>
      <w:r w:rsidDel="00000000" w:rsidR="00000000" w:rsidRPr="00000000">
        <w:rPr>
          <w:rFonts w:ascii="Arial" w:cs="Arial" w:eastAsia="Arial" w:hAnsi="Arial"/>
          <w:b w:val="0"/>
          <w:bCs w:val="0"/>
          <w:color w:val="1f2937"/>
          <w:sz w:val="21"/>
          <w:szCs w:val="21"/>
          <w:rtl w:val="0"/>
        </w:rPr>
        <w:t xml:space="preserve">En cumplimiento estricto de los lineamientos metodológicos de la asignatura y de la Guía de Scrum [7], el equipo de dos integrantes ejecuta una rotación cruzada total de los roles de liderazgo (Scrum Master y Product Owner) y de las responsabilidades técnicas al iniciar el Sprint 2:</w:t>
      </w:r>
    </w:p>
    <w:tbl>
      <w:tblPr>
        <w:tblStyle w:val="Table10"/>
        <w:tblW w:w="960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2680"/>
        <w:gridCol w:w="3460"/>
        <w:gridCol w:w="3460"/>
        <w:tblGridChange w:id="0">
          <w:tblGrid>
            <w:gridCol w:w="2680"/>
            <w:gridCol w:w="3460"/>
            <w:gridCol w:w="3460"/>
          </w:tblGrid>
        </w:tblGridChange>
      </w:tblGrid>
      <w:tr>
        <w:trPr>
          <w:cantSplit w:val="0"/>
          <w:tblHeader w:val="0"/>
        </w:trPr>
        <w:tc>
          <w:tcPr>
            <w:shd w:fill="1b365d" w:val="clear"/>
            <w:tcMar>
              <w:top w:w="120.0" w:type="dxa"/>
              <w:left w:w="160.0" w:type="dxa"/>
              <w:bottom w:w="120.0" w:type="dxa"/>
              <w:right w:w="160.0" w:type="dxa"/>
            </w:tcM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Integrante del Equipo</w:t>
            </w:r>
          </w:p>
        </w:tc>
        <w:tc>
          <w:tcPr>
            <w:shd w:fill="1b365d" w:val="clear"/>
            <w:tcMar>
              <w:top w:w="120.0" w:type="dxa"/>
              <w:left w:w="160.0" w:type="dxa"/>
              <w:bottom w:w="120.0" w:type="dxa"/>
              <w:right w:w="160.0"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Rol Desempeñado en Sprint 1</w:t>
            </w:r>
          </w:p>
        </w:tc>
        <w:tc>
          <w:tcPr>
            <w:shd w:fill="1b365d" w:val="clear"/>
            <w:tcMar>
              <w:top w:w="120.0" w:type="dxa"/>
              <w:left w:w="160.0" w:type="dxa"/>
              <w:bottom w:w="120.0" w:type="dxa"/>
              <w:right w:w="160.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Nuevo Rol Asignado en Sprint 2 (Rotado)</w:t>
            </w:r>
          </w:p>
        </w:tc>
      </w:tr>
      <w:tr>
        <w:trPr>
          <w:cantSplit w:val="0"/>
          <w:tblHeader w:val="0"/>
        </w:trPr>
        <w:tc>
          <w:tcPr>
            <w:shd w:fill="ffffff" w:val="clear"/>
            <w:tcMar>
              <w:top w:w="120.0" w:type="dxa"/>
              <w:left w:w="160.0" w:type="dxa"/>
              <w:bottom w:w="120.0" w:type="dxa"/>
              <w:right w:w="16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f2937"/>
                <w:sz w:val="19"/>
                <w:szCs w:val="19"/>
              </w:rPr>
            </w:pPr>
            <w:r w:rsidDel="00000000" w:rsidR="00000000" w:rsidRPr="00000000">
              <w:rPr>
                <w:rFonts w:ascii="Arial" w:cs="Arial" w:eastAsia="Arial" w:hAnsi="Arial"/>
                <w:b w:val="1"/>
                <w:bCs w:val="1"/>
                <w:color w:val="1f2937"/>
                <w:sz w:val="19"/>
                <w:szCs w:val="19"/>
                <w:rtl w:val="0"/>
              </w:rPr>
              <w:t xml:space="preserve">Juan Esteban Martínez</w:t>
            </w:r>
          </w:p>
        </w:tc>
        <w:tc>
          <w:tcPr>
            <w:shd w:fill="ffffff" w:val="clear"/>
            <w:tcMar>
              <w:top w:w="120.0" w:type="dxa"/>
              <w:left w:w="160.0" w:type="dxa"/>
              <w:bottom w:w="120.0" w:type="dxa"/>
              <w:right w:w="16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Scrum Master &amp; Backend Architect</w:t>
            </w:r>
          </w:p>
        </w:tc>
        <w:tc>
          <w:tcPr>
            <w:shd w:fill="ffffff" w:val="clear"/>
            <w:tcMar>
              <w:top w:w="120.0" w:type="dxa"/>
              <w:left w:w="160.0" w:type="dxa"/>
              <w:bottom w:w="120.0" w:type="dxa"/>
              <w:right w:w="16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Product Owner &amp; DevOps / Cloud Engineer</w:t>
            </w:r>
          </w:p>
        </w:tc>
      </w:tr>
      <w:tr>
        <w:trPr>
          <w:cantSplit w:val="0"/>
          <w:tblHeader w:val="0"/>
        </w:trPr>
        <w:tc>
          <w:tcPr>
            <w:shd w:fill="f8fafc" w:val="clear"/>
            <w:tcMar>
              <w:top w:w="120.0" w:type="dxa"/>
              <w:left w:w="160.0" w:type="dxa"/>
              <w:bottom w:w="120.0" w:type="dxa"/>
              <w:right w:w="16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f2937"/>
                <w:sz w:val="19"/>
                <w:szCs w:val="19"/>
              </w:rPr>
            </w:pPr>
            <w:r w:rsidDel="00000000" w:rsidR="00000000" w:rsidRPr="00000000">
              <w:rPr>
                <w:rFonts w:ascii="Arial" w:cs="Arial" w:eastAsia="Arial" w:hAnsi="Arial"/>
                <w:b w:val="1"/>
                <w:bCs w:val="1"/>
                <w:color w:val="1f2937"/>
                <w:sz w:val="19"/>
                <w:szCs w:val="19"/>
                <w:rtl w:val="0"/>
              </w:rPr>
              <w:t xml:space="preserve">Daniel Muñoz Piedrahita</w:t>
            </w:r>
          </w:p>
        </w:tc>
        <w:tc>
          <w:tcPr>
            <w:shd w:fill="f8fafc" w:val="clear"/>
            <w:tcMar>
              <w:top w:w="120.0" w:type="dxa"/>
              <w:left w:w="160.0" w:type="dxa"/>
              <w:bottom w:w="120.0" w:type="dxa"/>
              <w:right w:w="16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Product Owner &amp; Frontend Lead</w:t>
            </w:r>
          </w:p>
        </w:tc>
        <w:tc>
          <w:tcPr>
            <w:shd w:fill="f8fafc" w:val="clear"/>
            <w:tcMar>
              <w:top w:w="120.0" w:type="dxa"/>
              <w:left w:w="160.0" w:type="dxa"/>
              <w:bottom w:w="120.0" w:type="dxa"/>
              <w:right w:w="16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9"/>
                <w:szCs w:val="19"/>
              </w:rPr>
            </w:pPr>
            <w:r w:rsidDel="00000000" w:rsidR="00000000" w:rsidRPr="00000000">
              <w:rPr>
                <w:rFonts w:ascii="Arial" w:cs="Arial" w:eastAsia="Arial" w:hAnsi="Arial"/>
                <w:b w:val="0"/>
                <w:bCs w:val="0"/>
                <w:color w:val="1f2937"/>
                <w:sz w:val="19"/>
                <w:szCs w:val="19"/>
                <w:rtl w:val="0"/>
              </w:rPr>
              <w:t xml:space="preserve">Scrum Master &amp; Fullstack Developer</w:t>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color w:val="1f2937"/>
          <w:sz w:val="21"/>
          <w:szCs w:val="21"/>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rial" w:cs="Arial" w:eastAsia="Arial" w:hAnsi="Arial"/>
          <w:b w:val="0"/>
          <w:bCs w:val="0"/>
          <w:color w:val="1f2937"/>
          <w:sz w:val="12"/>
          <w:szCs w:val="12"/>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w:cs="Arial" w:eastAsia="Arial" w:hAnsi="Arial"/>
          <w:b w:val="0"/>
          <w:bCs w:val="0"/>
          <w:color w:val="1f2937"/>
          <w:sz w:val="21"/>
          <w:szCs w:val="21"/>
        </w:rPr>
      </w:pPr>
      <w:r w:rsidDel="00000000" w:rsidR="00000000" w:rsidRPr="00000000">
        <w:rPr>
          <w:rFonts w:ascii="Arial" w:cs="Arial" w:eastAsia="Arial" w:hAnsi="Arial"/>
          <w:b w:val="0"/>
          <w:bCs w:val="0"/>
          <w:color w:val="1f2937"/>
          <w:sz w:val="21"/>
          <w:szCs w:val="21"/>
          <w:rtl w:val="0"/>
        </w:rPr>
        <w:t xml:space="preserve">Esta rotación cruzada fortalece la resiliencia del equipo: Juan Esteban Martínez cede el rol de Scrum Master y asume como Product Owner para liderar la priorización funcional con el cliente piloto del restaurante Luigie's, mientras que Daniel Muñoz Piedrahita cede el rol de Product Owner y asume como Scrum Master para facilitar las ceremonias y gestionar el flujo de impedimentos en Jira Software.</w:t>
      </w:r>
    </w:p>
    <w:p w:rsidR="00000000" w:rsidDel="00000000" w:rsidP="00000000" w:rsidRDefault="00000000" w:rsidRPr="00000000" w14:paraId="0000011A">
      <w:pPr>
        <w:pStyle w:val="Heading3"/>
        <w:spacing w:after="80" w:before="200" w:lineRule="auto"/>
        <w:rPr>
          <w:rFonts w:ascii="Arial" w:cs="Arial" w:eastAsia="Arial" w:hAnsi="Arial"/>
          <w:b w:val="1"/>
          <w:bCs w:val="1"/>
          <w:color w:val="334155"/>
          <w:sz w:val="21"/>
          <w:szCs w:val="21"/>
        </w:rPr>
      </w:pPr>
      <w:bookmarkStart w:colFirst="0" w:colLast="0" w:name="_b3zad25ihfur" w:id="29"/>
      <w:bookmarkEnd w:id="29"/>
      <w:r w:rsidDel="00000000" w:rsidR="00000000" w:rsidRPr="00000000">
        <w:rPr>
          <w:rFonts w:ascii="Arial" w:cs="Arial" w:eastAsia="Arial" w:hAnsi="Arial"/>
          <w:b w:val="1"/>
          <w:bCs w:val="1"/>
          <w:color w:val="334155"/>
          <w:sz w:val="21"/>
          <w:szCs w:val="21"/>
          <w:rtl w:val="0"/>
        </w:rPr>
        <w:t xml:space="preserve">Verificación de Gestión y Rotación de Roles: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La plataforma Jira Software evidencia actividad continua y real del equipo.</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Totalidad de los roles gerenciales y técnicos rotados entre Sprint 1 y Sprint 2.</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El Product Owner y el Scrum Master del Sprint 2 son diferentes a los del Sprint 1.</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Cada integrante desempeña múltiples roles complementarios dentro del proyecto.</w:t>
      </w:r>
    </w:p>
    <w:p w:rsidR="00000000" w:rsidDel="00000000" w:rsidP="00000000" w:rsidRDefault="00000000" w:rsidRPr="00000000" w14:paraId="0000011F">
      <w:pPr>
        <w:pStyle w:val="Heading1"/>
        <w:spacing w:after="160" w:before="360" w:lineRule="auto"/>
        <w:rPr>
          <w:rFonts w:ascii="Arial" w:cs="Arial" w:eastAsia="Arial" w:hAnsi="Arial"/>
          <w:b w:val="1"/>
          <w:bCs w:val="1"/>
          <w:color w:val="1b365d"/>
          <w:sz w:val="28"/>
          <w:szCs w:val="28"/>
        </w:rPr>
      </w:pPr>
      <w:bookmarkStart w:colFirst="0" w:colLast="0" w:name="_ozrxsw646s3f" w:id="30"/>
      <w:bookmarkEnd w:id="30"/>
      <w:r w:rsidDel="00000000" w:rsidR="00000000" w:rsidRPr="00000000">
        <w:rPr>
          <w:rFonts w:ascii="Arial" w:cs="Arial" w:eastAsia="Arial" w:hAnsi="Arial"/>
          <w:b w:val="1"/>
          <w:bCs w:val="1"/>
          <w:color w:val="1b365d"/>
          <w:sz w:val="28"/>
          <w:szCs w:val="28"/>
          <w:rtl w:val="0"/>
        </w:rPr>
        <w:t xml:space="preserve">8. Gobernanza y Uso Responsable de IA en Código (10% según Rúbrica)</w:t>
      </w:r>
    </w:p>
    <w:p w:rsidR="00000000" w:rsidDel="00000000" w:rsidP="00000000" w:rsidRDefault="00000000" w:rsidRPr="00000000" w14:paraId="00000120">
      <w:pPr>
        <w:pStyle w:val="Heading2"/>
        <w:spacing w:after="120" w:before="280" w:lineRule="auto"/>
        <w:rPr>
          <w:rFonts w:ascii="Arial" w:cs="Arial" w:eastAsia="Arial" w:hAnsi="Arial"/>
          <w:b w:val="1"/>
          <w:bCs w:val="1"/>
          <w:color w:val="1e40af"/>
          <w:sz w:val="23"/>
          <w:szCs w:val="23"/>
        </w:rPr>
      </w:pPr>
      <w:bookmarkStart w:colFirst="0" w:colLast="0" w:name="_fbt13ntn3usy" w:id="31"/>
      <w:bookmarkEnd w:id="31"/>
      <w:r w:rsidDel="00000000" w:rsidR="00000000" w:rsidRPr="00000000">
        <w:rPr>
          <w:rFonts w:ascii="Arial" w:cs="Arial" w:eastAsia="Arial" w:hAnsi="Arial"/>
          <w:b w:val="1"/>
          <w:bCs w:val="1"/>
          <w:color w:val="1e40af"/>
          <w:sz w:val="23"/>
          <w:szCs w:val="23"/>
          <w:rtl w:val="0"/>
        </w:rPr>
        <w:t xml:space="preserve">8.1. Bitácora de Prompts Técnicos y Supervisión Humana (Human-in-the-Loop)</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w:cs="Arial" w:eastAsia="Arial" w:hAnsi="Arial"/>
          <w:b w:val="0"/>
          <w:bCs w:val="0"/>
          <w:color w:val="1f2937"/>
          <w:sz w:val="21"/>
          <w:szCs w:val="21"/>
        </w:rPr>
      </w:pPr>
      <w:r w:rsidDel="00000000" w:rsidR="00000000" w:rsidRPr="00000000">
        <w:rPr>
          <w:rFonts w:ascii="Arial" w:cs="Arial" w:eastAsia="Arial" w:hAnsi="Arial"/>
          <w:b w:val="0"/>
          <w:bCs w:val="0"/>
          <w:color w:val="1f2937"/>
          <w:sz w:val="21"/>
          <w:szCs w:val="21"/>
          <w:rtl w:val="0"/>
        </w:rPr>
        <w:t xml:space="preserve">Durante la codificación del Sprint 1 se utilizó el entorno de desarrollo asistido Google Antigravity IDE junto con asistentes de generación de código. Bajo el principio de supervisión humana estricta (Human-in-the-Loop), ninguna salida de la IA fue integrada de forma directa: cada fragmento fue auditado para corregir defectos contables, vulnerabilidades de seguridad y cuellos de botella de rendimiento:</w:t>
      </w:r>
    </w:p>
    <w:tbl>
      <w:tblPr>
        <w:tblStyle w:val="Table11"/>
        <w:tblW w:w="960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1320"/>
        <w:gridCol w:w="1480"/>
        <w:gridCol w:w="2280"/>
        <w:gridCol w:w="2600"/>
        <w:gridCol w:w="1920"/>
        <w:tblGridChange w:id="0">
          <w:tblGrid>
            <w:gridCol w:w="1320"/>
            <w:gridCol w:w="1480"/>
            <w:gridCol w:w="2280"/>
            <w:gridCol w:w="2600"/>
            <w:gridCol w:w="1920"/>
          </w:tblGrid>
        </w:tblGridChange>
      </w:tblGrid>
      <w:tr>
        <w:trPr>
          <w:cantSplit w:val="0"/>
          <w:tblHeader w:val="0"/>
        </w:trPr>
        <w:tc>
          <w:tcPr>
            <w:shd w:fill="1b365d" w:val="clear"/>
            <w:tcMar>
              <w:top w:w="120.0" w:type="dxa"/>
              <w:left w:w="160.0" w:type="dxa"/>
              <w:bottom w:w="120.0" w:type="dxa"/>
              <w:right w:w="160.0"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Fecha</w:t>
            </w:r>
          </w:p>
        </w:tc>
        <w:tc>
          <w:tcPr>
            <w:shd w:fill="1b365d" w:val="clear"/>
            <w:tcMar>
              <w:top w:w="120.0" w:type="dxa"/>
              <w:left w:w="160.0" w:type="dxa"/>
              <w:bottom w:w="120.0" w:type="dxa"/>
              <w:right w:w="160.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Herramienta IA</w:t>
            </w:r>
          </w:p>
        </w:tc>
        <w:tc>
          <w:tcPr>
            <w:shd w:fill="1b365d" w:val="clear"/>
            <w:tcMar>
              <w:top w:w="120.0" w:type="dxa"/>
              <w:left w:w="160.0" w:type="dxa"/>
              <w:bottom w:w="120.0" w:type="dxa"/>
              <w:right w:w="160.0"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Prompt Inicial y Salida de la IA</w:t>
            </w:r>
          </w:p>
        </w:tc>
        <w:tc>
          <w:tcPr>
            <w:shd w:fill="1b365d" w:val="clear"/>
            <w:tcMar>
              <w:top w:w="120.0" w:type="dxa"/>
              <w:left w:w="160.0" w:type="dxa"/>
              <w:bottom w:w="120.0" w:type="dxa"/>
              <w:right w:w="160.0"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Intervención y Corrección Humana (HITL)</w:t>
            </w:r>
          </w:p>
        </w:tc>
        <w:tc>
          <w:tcPr>
            <w:shd w:fill="1b365d" w:val="clear"/>
            <w:tcMar>
              <w:top w:w="120.0" w:type="dxa"/>
              <w:left w:w="160.0" w:type="dxa"/>
              <w:bottom w:w="120.0" w:type="dxa"/>
              <w:right w:w="160.0"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Resultado y Validación</w:t>
            </w:r>
          </w:p>
        </w:tc>
      </w:tr>
      <w:tr>
        <w:trPr>
          <w:cantSplit w:val="0"/>
          <w:tblHeader w:val="0"/>
        </w:trPr>
        <w:tc>
          <w:tcPr>
            <w:shd w:fill="ffffff" w:val="clear"/>
            <w:tcMar>
              <w:top w:w="120.0" w:type="dxa"/>
              <w:left w:w="160.0" w:type="dxa"/>
              <w:bottom w:w="120.0" w:type="dxa"/>
              <w:right w:w="16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f2937"/>
                <w:sz w:val="18"/>
                <w:szCs w:val="18"/>
              </w:rPr>
            </w:pPr>
            <w:r w:rsidDel="00000000" w:rsidR="00000000" w:rsidRPr="00000000">
              <w:rPr>
                <w:rFonts w:ascii="Arial" w:cs="Arial" w:eastAsia="Arial" w:hAnsi="Arial"/>
                <w:b w:val="1"/>
                <w:bCs w:val="1"/>
                <w:color w:val="1f2937"/>
                <w:sz w:val="18"/>
                <w:szCs w:val="18"/>
                <w:rtl w:val="0"/>
              </w:rPr>
              <w:t xml:space="preserve">18/09/2026</w:t>
            </w:r>
          </w:p>
        </w:tc>
        <w:tc>
          <w:tcPr>
            <w:shd w:fill="ffffff" w:val="clear"/>
            <w:tcMar>
              <w:top w:w="120.0" w:type="dxa"/>
              <w:left w:w="160.0" w:type="dxa"/>
              <w:bottom w:w="120.0" w:type="dxa"/>
              <w:right w:w="16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8"/>
                <w:szCs w:val="18"/>
              </w:rPr>
            </w:pPr>
            <w:r w:rsidDel="00000000" w:rsidR="00000000" w:rsidRPr="00000000">
              <w:rPr>
                <w:rFonts w:ascii="Arial" w:cs="Arial" w:eastAsia="Arial" w:hAnsi="Arial"/>
                <w:b w:val="0"/>
                <w:bCs w:val="0"/>
                <w:color w:val="1f2937"/>
                <w:sz w:val="18"/>
                <w:szCs w:val="18"/>
                <w:rtl w:val="0"/>
              </w:rPr>
              <w:t xml:space="preserve">Google Antigravity IDE / Copilot</w:t>
            </w:r>
          </w:p>
        </w:tc>
        <w:tc>
          <w:tcPr>
            <w:shd w:fill="ffffff" w:val="clear"/>
            <w:tcMar>
              <w:top w:w="120.0" w:type="dxa"/>
              <w:left w:w="160.0" w:type="dxa"/>
              <w:bottom w:w="120.0" w:type="dxa"/>
              <w:right w:w="16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8"/>
                <w:szCs w:val="18"/>
              </w:rPr>
            </w:pPr>
            <w:r w:rsidDel="00000000" w:rsidR="00000000" w:rsidRPr="00000000">
              <w:rPr>
                <w:rFonts w:ascii="Arial" w:cs="Arial" w:eastAsia="Arial" w:hAnsi="Arial"/>
                <w:b w:val="0"/>
                <w:bCs w:val="0"/>
                <w:color w:val="1f2937"/>
                <w:sz w:val="18"/>
                <w:szCs w:val="18"/>
                <w:rtl w:val="0"/>
              </w:rPr>
              <w:t xml:space="preserve">Prompt: "Generar función en caja.service.ts para calcular el efectivo esperado y balance sumando pagos del turno."</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color w:val="1f2937"/>
                <w:sz w:val="18"/>
                <w:szCs w:val="18"/>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color w:val="1f2937"/>
                <w:sz w:val="18"/>
                <w:szCs w:val="18"/>
              </w:rPr>
            </w:pPr>
            <w:r w:rsidDel="00000000" w:rsidR="00000000" w:rsidRPr="00000000">
              <w:rPr>
                <w:rFonts w:ascii="Arial" w:cs="Arial" w:eastAsia="Arial" w:hAnsi="Arial"/>
                <w:b w:val="0"/>
                <w:bCs w:val="0"/>
                <w:color w:val="1f2937"/>
                <w:sz w:val="18"/>
                <w:szCs w:val="18"/>
                <w:rtl w:val="0"/>
              </w:rPr>
              <w:t xml:space="preserve">Salida IA: Bucle acumulativo simple (total += f.valor_total) sin filtros de estado ni redondeo.</w:t>
            </w:r>
          </w:p>
        </w:tc>
        <w:tc>
          <w:tcPr>
            <w:shd w:fill="ffffff" w:val="clear"/>
            <w:tcMar>
              <w:top w:w="120.0" w:type="dxa"/>
              <w:left w:w="160.0" w:type="dxa"/>
              <w:bottom w:w="120.0" w:type="dxa"/>
              <w:right w:w="16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8"/>
                <w:szCs w:val="18"/>
              </w:rPr>
            </w:pPr>
            <w:r w:rsidDel="00000000" w:rsidR="00000000" w:rsidRPr="00000000">
              <w:rPr>
                <w:rFonts w:ascii="Arial" w:cs="Arial" w:eastAsia="Arial" w:hAnsi="Arial"/>
                <w:b w:val="0"/>
                <w:bCs w:val="0"/>
                <w:color w:val="1f2937"/>
                <w:sz w:val="18"/>
                <w:szCs w:val="18"/>
                <w:rtl w:val="0"/>
              </w:rPr>
              <w:t xml:space="preserve">El desarrollador detectó dos fallas graves: 1) no excluía facturas anuladas, descuadrando la caja; 2) presentaba imprecisión decimal IEEE 754 de coma flotante. Se implementó redondearMoneda() y la guarda explícita: if (f.estado === EstadoFactura.anulada) continue;.</w:t>
            </w:r>
          </w:p>
        </w:tc>
        <w:tc>
          <w:tcPr>
            <w:shd w:fill="ffffff" w:val="clear"/>
            <w:tcMar>
              <w:top w:w="120.0" w:type="dxa"/>
              <w:left w:w="160.0" w:type="dxa"/>
              <w:bottom w:w="120.0" w:type="dxa"/>
              <w:right w:w="16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8"/>
                <w:szCs w:val="18"/>
              </w:rPr>
            </w:pPr>
            <w:r w:rsidDel="00000000" w:rsidR="00000000" w:rsidRPr="00000000">
              <w:rPr>
                <w:rFonts w:ascii="Arial" w:cs="Arial" w:eastAsia="Arial" w:hAnsi="Arial"/>
                <w:b w:val="0"/>
                <w:bCs w:val="0"/>
                <w:color w:val="1f2937"/>
                <w:sz w:val="18"/>
                <w:szCs w:val="18"/>
                <w:rtl w:val="0"/>
              </w:rPr>
              <w:t xml:space="preserve">Método obtenerEstadoActual() con precisión contable exacta.</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color w:val="1f2937"/>
                <w:sz w:val="18"/>
                <w:szCs w:val="18"/>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color w:val="1f2937"/>
                <w:sz w:val="18"/>
                <w:szCs w:val="18"/>
              </w:rPr>
            </w:pPr>
            <w:r w:rsidDel="00000000" w:rsidR="00000000" w:rsidRPr="00000000">
              <w:rPr>
                <w:rFonts w:ascii="Arial Unicode MS" w:cs="Arial Unicode MS" w:eastAsia="Arial Unicode MS" w:hAnsi="Arial Unicode MS"/>
                <w:b w:val="0"/>
                <w:bCs w:val="0"/>
                <w:color w:val="1f2937"/>
                <w:sz w:val="18"/>
                <w:szCs w:val="18"/>
                <w:rtl w:val="0"/>
              </w:rPr>
              <w:t xml:space="preserve">✅ Tests aprobados en caja.service.spec.ts</w:t>
            </w:r>
          </w:p>
        </w:tc>
      </w:tr>
      <w:tr>
        <w:trPr>
          <w:cantSplit w:val="0"/>
          <w:tblHeader w:val="0"/>
        </w:trPr>
        <w:tc>
          <w:tcPr>
            <w:shd w:fill="f8fafc" w:val="clear"/>
            <w:tcMar>
              <w:top w:w="120.0" w:type="dxa"/>
              <w:left w:w="160.0" w:type="dxa"/>
              <w:bottom w:w="120.0" w:type="dxa"/>
              <w:right w:w="16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f2937"/>
                <w:sz w:val="18"/>
                <w:szCs w:val="18"/>
              </w:rPr>
            </w:pPr>
            <w:r w:rsidDel="00000000" w:rsidR="00000000" w:rsidRPr="00000000">
              <w:rPr>
                <w:rFonts w:ascii="Arial" w:cs="Arial" w:eastAsia="Arial" w:hAnsi="Arial"/>
                <w:b w:val="1"/>
                <w:bCs w:val="1"/>
                <w:color w:val="1f2937"/>
                <w:sz w:val="18"/>
                <w:szCs w:val="18"/>
                <w:rtl w:val="0"/>
              </w:rPr>
              <w:t xml:space="preserve">24/09/2026</w:t>
            </w:r>
          </w:p>
        </w:tc>
        <w:tc>
          <w:tcPr>
            <w:shd w:fill="f8fafc" w:val="clear"/>
            <w:tcMar>
              <w:top w:w="120.0" w:type="dxa"/>
              <w:left w:w="160.0" w:type="dxa"/>
              <w:bottom w:w="120.0" w:type="dxa"/>
              <w:right w:w="16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8"/>
                <w:szCs w:val="18"/>
              </w:rPr>
            </w:pPr>
            <w:r w:rsidDel="00000000" w:rsidR="00000000" w:rsidRPr="00000000">
              <w:rPr>
                <w:rFonts w:ascii="Arial" w:cs="Arial" w:eastAsia="Arial" w:hAnsi="Arial"/>
                <w:b w:val="0"/>
                <w:bCs w:val="0"/>
                <w:color w:val="1f2937"/>
                <w:sz w:val="18"/>
                <w:szCs w:val="18"/>
                <w:rtl w:val="0"/>
              </w:rPr>
              <w:t xml:space="preserve">Google Antigravity IDE / Claude</w:t>
            </w:r>
          </w:p>
        </w:tc>
        <w:tc>
          <w:tcPr>
            <w:shd w:fill="f8fafc" w:val="clear"/>
            <w:tcMar>
              <w:top w:w="120.0" w:type="dxa"/>
              <w:left w:w="160.0" w:type="dxa"/>
              <w:bottom w:w="120.0" w:type="dxa"/>
              <w:right w:w="16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8"/>
                <w:szCs w:val="18"/>
              </w:rPr>
            </w:pPr>
            <w:r w:rsidDel="00000000" w:rsidR="00000000" w:rsidRPr="00000000">
              <w:rPr>
                <w:rFonts w:ascii="Arial" w:cs="Arial" w:eastAsia="Arial" w:hAnsi="Arial"/>
                <w:b w:val="0"/>
                <w:bCs w:val="0"/>
                <w:color w:val="1f2937"/>
                <w:sz w:val="18"/>
                <w:szCs w:val="18"/>
                <w:rtl w:val="0"/>
              </w:rPr>
              <w:t xml:space="preserve">Prompt: "Crear método en NestJS para que un cliente consulte el detalle de su pedido a domicilio mediante su ID."</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color w:val="1f2937"/>
                <w:sz w:val="18"/>
                <w:szCs w:val="18"/>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color w:val="1f2937"/>
                <w:sz w:val="18"/>
                <w:szCs w:val="18"/>
              </w:rPr>
            </w:pPr>
            <w:r w:rsidDel="00000000" w:rsidR="00000000" w:rsidRPr="00000000">
              <w:rPr>
                <w:rFonts w:ascii="Arial" w:cs="Arial" w:eastAsia="Arial" w:hAnsi="Arial"/>
                <w:b w:val="0"/>
                <w:bCs w:val="0"/>
                <w:color w:val="1f2937"/>
                <w:sz w:val="18"/>
                <w:szCs w:val="18"/>
                <w:rtl w:val="0"/>
              </w:rPr>
              <w:t xml:space="preserve">Salida IA: Consulta directa findUnique({ where: { id_pedido } }) sin verificar titularidad.</w:t>
            </w:r>
          </w:p>
        </w:tc>
        <w:tc>
          <w:tcPr>
            <w:shd w:fill="f8fafc" w:val="clear"/>
            <w:tcMar>
              <w:top w:w="120.0" w:type="dxa"/>
              <w:left w:w="160.0" w:type="dxa"/>
              <w:bottom w:w="120.0" w:type="dxa"/>
              <w:right w:w="16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8"/>
                <w:szCs w:val="18"/>
              </w:rPr>
            </w:pPr>
            <w:r w:rsidDel="00000000" w:rsidR="00000000" w:rsidRPr="00000000">
              <w:rPr>
                <w:rFonts w:ascii="Arial" w:cs="Arial" w:eastAsia="Arial" w:hAnsi="Arial"/>
                <w:b w:val="0"/>
                <w:bCs w:val="0"/>
                <w:color w:val="1f2937"/>
                <w:sz w:val="18"/>
                <w:szCs w:val="18"/>
                <w:rtl w:val="0"/>
              </w:rPr>
              <w:t xml:space="preserve">El desarrollador identificó una vulnerabilidad crítica OWASP A01:2025 (IDOR): cualquier cliente podía ver pedidos ajenos cambiando el ID. Se inyectó @CurrentUser() y la validación: if (rol === cliente &amp;&amp; pedido.id_usuario !== user.id_usuario) throw new ForbiddenException().</w:t>
            </w:r>
          </w:p>
        </w:tc>
        <w:tc>
          <w:tcPr>
            <w:shd w:fill="f8fafc" w:val="clear"/>
            <w:tcMar>
              <w:top w:w="120.0" w:type="dxa"/>
              <w:left w:w="160.0" w:type="dxa"/>
              <w:bottom w:w="120.0" w:type="dxa"/>
              <w:right w:w="16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8"/>
                <w:szCs w:val="18"/>
              </w:rPr>
            </w:pPr>
            <w:r w:rsidDel="00000000" w:rsidR="00000000" w:rsidRPr="00000000">
              <w:rPr>
                <w:rFonts w:ascii="Arial" w:cs="Arial" w:eastAsia="Arial" w:hAnsi="Arial"/>
                <w:b w:val="0"/>
                <w:bCs w:val="0"/>
                <w:color w:val="1f2937"/>
                <w:sz w:val="18"/>
                <w:szCs w:val="18"/>
                <w:rtl w:val="0"/>
              </w:rPr>
              <w:t xml:space="preserve">Endpoint blindado contra IDOR en domicilios.service.ts (L346).</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color w:val="1f2937"/>
                <w:sz w:val="18"/>
                <w:szCs w:val="18"/>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color w:val="1f2937"/>
                <w:sz w:val="18"/>
                <w:szCs w:val="18"/>
              </w:rPr>
            </w:pPr>
            <w:r w:rsidDel="00000000" w:rsidR="00000000" w:rsidRPr="00000000">
              <w:rPr>
                <w:rFonts w:ascii="Arial Unicode MS" w:cs="Arial Unicode MS" w:eastAsia="Arial Unicode MS" w:hAnsi="Arial Unicode MS"/>
                <w:b w:val="0"/>
                <w:bCs w:val="0"/>
                <w:color w:val="1f2937"/>
                <w:sz w:val="18"/>
                <w:szCs w:val="18"/>
                <w:rtl w:val="0"/>
              </w:rPr>
              <w:t xml:space="preserve">✅ Test [A01.1] aprobado en owasp-compliance.spec.ts</w:t>
            </w:r>
          </w:p>
        </w:tc>
      </w:tr>
      <w:tr>
        <w:trPr>
          <w:cantSplit w:val="0"/>
          <w:tblHeader w:val="0"/>
        </w:trPr>
        <w:tc>
          <w:tcPr>
            <w:shd w:fill="ffffff" w:val="clear"/>
            <w:tcMar>
              <w:top w:w="120.0" w:type="dxa"/>
              <w:left w:w="160.0" w:type="dxa"/>
              <w:bottom w:w="120.0" w:type="dxa"/>
              <w:right w:w="16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f2937"/>
                <w:sz w:val="18"/>
                <w:szCs w:val="18"/>
              </w:rPr>
            </w:pPr>
            <w:r w:rsidDel="00000000" w:rsidR="00000000" w:rsidRPr="00000000">
              <w:rPr>
                <w:rFonts w:ascii="Arial" w:cs="Arial" w:eastAsia="Arial" w:hAnsi="Arial"/>
                <w:b w:val="1"/>
                <w:bCs w:val="1"/>
                <w:color w:val="1f2937"/>
                <w:sz w:val="18"/>
                <w:szCs w:val="18"/>
                <w:rtl w:val="0"/>
              </w:rPr>
              <w:t xml:space="preserve">28/09/2026</w:t>
            </w:r>
          </w:p>
        </w:tc>
        <w:tc>
          <w:tcPr>
            <w:shd w:fill="ffffff" w:val="clear"/>
            <w:tcMar>
              <w:top w:w="120.0" w:type="dxa"/>
              <w:left w:w="160.0" w:type="dxa"/>
              <w:bottom w:w="120.0" w:type="dxa"/>
              <w:right w:w="16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8"/>
                <w:szCs w:val="18"/>
              </w:rPr>
            </w:pPr>
            <w:r w:rsidDel="00000000" w:rsidR="00000000" w:rsidRPr="00000000">
              <w:rPr>
                <w:rFonts w:ascii="Arial" w:cs="Arial" w:eastAsia="Arial" w:hAnsi="Arial"/>
                <w:b w:val="0"/>
                <w:bCs w:val="0"/>
                <w:color w:val="1f2937"/>
                <w:sz w:val="18"/>
                <w:szCs w:val="18"/>
                <w:rtl w:val="0"/>
              </w:rPr>
              <w:t xml:space="preserve">Google Antigravity IDE / Copilot</w:t>
            </w:r>
          </w:p>
        </w:tc>
        <w:tc>
          <w:tcPr>
            <w:shd w:fill="ffffff" w:val="clear"/>
            <w:tcMar>
              <w:top w:w="120.0" w:type="dxa"/>
              <w:left w:w="160.0" w:type="dxa"/>
              <w:bottom w:w="120.0" w:type="dxa"/>
              <w:right w:w="16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8"/>
                <w:szCs w:val="18"/>
              </w:rPr>
            </w:pPr>
            <w:r w:rsidDel="00000000" w:rsidR="00000000" w:rsidRPr="00000000">
              <w:rPr>
                <w:rFonts w:ascii="Arial" w:cs="Arial" w:eastAsia="Arial" w:hAnsi="Arial"/>
                <w:b w:val="0"/>
                <w:bCs w:val="0"/>
                <w:color w:val="1f2937"/>
                <w:sz w:val="18"/>
                <w:szCs w:val="18"/>
                <w:rtl w:val="0"/>
              </w:rPr>
              <w:t xml:space="preserve">Prompt: "Crear visor de cocina KDS en Angular 22 que calcule dinámicamente el tiempo transcurrido de cada comanda."</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color w:val="1f2937"/>
                <w:sz w:val="18"/>
                <w:szCs w:val="18"/>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color w:val="1f2937"/>
                <w:sz w:val="18"/>
                <w:szCs w:val="18"/>
              </w:rPr>
            </w:pPr>
            <w:r w:rsidDel="00000000" w:rsidR="00000000" w:rsidRPr="00000000">
              <w:rPr>
                <w:rFonts w:ascii="Arial" w:cs="Arial" w:eastAsia="Arial" w:hAnsi="Arial"/>
                <w:b w:val="0"/>
                <w:bCs w:val="0"/>
                <w:color w:val="1f2937"/>
                <w:sz w:val="18"/>
                <w:szCs w:val="18"/>
                <w:rtl w:val="0"/>
              </w:rPr>
              <w:t xml:space="preserve">Salida IA: Función invocada en la plantilla HTML con setInterval tradicional.</w:t>
            </w:r>
          </w:p>
        </w:tc>
        <w:tc>
          <w:tcPr>
            <w:shd w:fill="ffffff" w:val="clear"/>
            <w:tcMar>
              <w:top w:w="120.0" w:type="dxa"/>
              <w:left w:w="160.0" w:type="dxa"/>
              <w:bottom w:w="120.0" w:type="dxa"/>
              <w:right w:w="16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8"/>
                <w:szCs w:val="18"/>
              </w:rPr>
            </w:pPr>
            <w:r w:rsidDel="00000000" w:rsidR="00000000" w:rsidRPr="00000000">
              <w:rPr>
                <w:rFonts w:ascii="Arial" w:cs="Arial" w:eastAsia="Arial" w:hAnsi="Arial"/>
                <w:b w:val="0"/>
                <w:bCs w:val="0"/>
                <w:color w:val="1f2937"/>
                <w:sz w:val="18"/>
                <w:szCs w:val="18"/>
                <w:rtl w:val="0"/>
              </w:rPr>
              <w:t xml:space="preserve">El desarrollador detectó saturación del ciclo de detección de cambios (Change Detection) en pantallas táctiles. Se refactorizó migrando hacia Angular Signals (signal, computed) con un reloj reactivo desacoplado.</w:t>
            </w:r>
          </w:p>
        </w:tc>
        <w:tc>
          <w:tcPr>
            <w:shd w:fill="ffffff" w:val="clear"/>
            <w:tcMar>
              <w:top w:w="120.0" w:type="dxa"/>
              <w:left w:w="160.0" w:type="dxa"/>
              <w:bottom w:w="120.0" w:type="dxa"/>
              <w:right w:w="16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0"/>
                <w:bCs w:val="0"/>
                <w:color w:val="1f2937"/>
                <w:sz w:val="18"/>
                <w:szCs w:val="18"/>
              </w:rPr>
            </w:pPr>
            <w:r w:rsidDel="00000000" w:rsidR="00000000" w:rsidRPr="00000000">
              <w:rPr>
                <w:rFonts w:ascii="Arial" w:cs="Arial" w:eastAsia="Arial" w:hAnsi="Arial"/>
                <w:b w:val="0"/>
                <w:bCs w:val="0"/>
                <w:color w:val="1f2937"/>
                <w:sz w:val="18"/>
                <w:szCs w:val="18"/>
                <w:rtl w:val="0"/>
              </w:rPr>
              <w:t xml:space="preserve">Componente vista-cocina.ts reactivo de alto desempeño.</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color w:val="1f2937"/>
                <w:sz w:val="18"/>
                <w:szCs w:val="18"/>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color w:val="1f2937"/>
                <w:sz w:val="18"/>
                <w:szCs w:val="18"/>
              </w:rPr>
            </w:pPr>
            <w:r w:rsidDel="00000000" w:rsidR="00000000" w:rsidRPr="00000000">
              <w:rPr>
                <w:rFonts w:ascii="Arial Unicode MS" w:cs="Arial Unicode MS" w:eastAsia="Arial Unicode MS" w:hAnsi="Arial Unicode MS"/>
                <w:b w:val="0"/>
                <w:bCs w:val="0"/>
                <w:color w:val="1f2937"/>
                <w:sz w:val="18"/>
                <w:szCs w:val="18"/>
                <w:rtl w:val="0"/>
              </w:rPr>
              <w:t xml:space="preserve">✅ Rendimiento verificado en Chrome DevTools</w:t>
            </w:r>
          </w:p>
        </w:tc>
      </w:tr>
      <w:tr>
        <w:trPr>
          <w:cantSplit w:val="0"/>
          <w:tblHeader w:val="0"/>
        </w:trPr>
        <w:tc>
          <w:tcPr>
            <w:shd w:fill="f8fafc" w:val="clear"/>
            <w:tcMar>
              <w:top w:w="120.0" w:type="dxa"/>
              <w:left w:w="160.0" w:type="dxa"/>
              <w:bottom w:w="120.0" w:type="dxa"/>
              <w:right w:w="160.0" w:type="dxa"/>
            </w:tcMar>
            <w:vAlign w:val="top"/>
          </w:tcPr>
          <w:p>
            <w:r/>
            <w:r>
              <w:rPr>
                <w:rFonts w:ascii="Arial" w:hAnsi="Arial"/>
                <w:b/>
                <w:sz w:val="18"/>
              </w:rPr>
              <w:t>01/10/2026</w:t>
            </w:r>
          </w:p>
        </w:tc>
        <w:tc>
          <w:tcPr>
            <w:shd w:fill="f8fafc" w:val="clear"/>
            <w:tcMar>
              <w:top w:w="120.0" w:type="dxa"/>
              <w:left w:w="160.0" w:type="dxa"/>
              <w:bottom w:w="120.0" w:type="dxa"/>
              <w:right w:w="160.0" w:type="dxa"/>
            </w:tcMar>
            <w:vAlign w:val="top"/>
          </w:tcPr>
          <w:p>
            <w:r/>
            <w:r>
              <w:rPr>
                <w:rFonts w:ascii="Arial" w:hAnsi="Arial"/>
                <w:b w:val="0"/>
                <w:sz w:val="18"/>
              </w:rPr>
              <w:t>Google Antigravity IDE / Copilot</w:t>
            </w:r>
          </w:p>
        </w:tc>
        <w:tc>
          <w:tcPr>
            <w:shd w:fill="f8fafc" w:val="clear"/>
            <w:tcMar>
              <w:top w:w="120.0" w:type="dxa"/>
              <w:left w:w="160.0" w:type="dxa"/>
              <w:bottom w:w="120.0" w:type="dxa"/>
              <w:right w:w="160.0" w:type="dxa"/>
            </w:tcMar>
            <w:vAlign w:val="top"/>
          </w:tcPr>
          <w:p>
            <w:r/>
            <w:r>
              <w:rPr>
                <w:rFonts w:ascii="Arial" w:hAnsi="Arial"/>
                <w:sz w:val="18"/>
              </w:rPr>
              <w:t>Prompt: "Crear consulta en Prisma para obtener las mesas con sus pedidos activos e ítems en mesas.service.ts."</w:t>
            </w:r>
          </w:p>
          <w:p/>
          <w:p>
            <w:r>
              <w:rPr>
                <w:rFonts w:ascii="Arial" w:hAnsi="Arial"/>
                <w:sz w:val="18"/>
              </w:rPr>
              <w:t>Salida IA: Inclusión directa de modelos completos: include: { items: { include: { producto: true } } } sin filtros.</w:t>
            </w:r>
          </w:p>
        </w:tc>
        <w:tc>
          <w:tcPr>
            <w:shd w:fill="f8fafc" w:val="clear"/>
            <w:tcMar>
              <w:top w:w="120.0" w:type="dxa"/>
              <w:left w:w="160.0" w:type="dxa"/>
              <w:bottom w:w="120.0" w:type="dxa"/>
              <w:right w:w="160.0" w:type="dxa"/>
            </w:tcMar>
            <w:vAlign w:val="top"/>
          </w:tcPr>
          <w:p>
            <w:r/>
            <w:r>
              <w:rPr>
                <w:rFonts w:ascii="Arial" w:hAnsi="Arial"/>
                <w:sz w:val="18"/>
              </w:rPr>
              <w:t>El desarrollador detectó sobrecarga de red al arrastrar imágenes en Base64 en sondeos frecuentes de mesas. Se diseñó la proyección tipada productoSelectOperativo (solo id_producto, nombre, precio_venta, costo, etc.), excluyendo el campo pesado de imagen en las consultas operativas.</w:t>
            </w:r>
          </w:p>
        </w:tc>
        <w:tc>
          <w:tcPr>
            <w:shd w:fill="f8fafc" w:val="clear"/>
            <w:tcMar>
              <w:top w:w="120.0" w:type="dxa"/>
              <w:left w:w="160.0" w:type="dxa"/>
              <w:bottom w:w="120.0" w:type="dxa"/>
              <w:right w:w="160.0" w:type="dxa"/>
            </w:tcMar>
            <w:vAlign w:val="top"/>
          </w:tcPr>
          <w:p>
            <w:r/>
            <w:r>
              <w:rPr>
                <w:rFonts w:ascii="Arial" w:hAnsi="Arial"/>
                <w:sz w:val="18"/>
              </w:rPr>
              <w:t>Reducción masiva de latencia y transferencia JSON en salón y comandas.</w:t>
            </w:r>
          </w:p>
          <w:p/>
          <w:p>
            <w:r>
              <w:rPr>
                <w:rFonts w:ascii="Arial" w:hAnsi="Arial"/>
                <w:sz w:val="18"/>
              </w:rPr>
              <w:t>✅ Tests aprobados en mesas.service.spec.ts</w:t>
            </w:r>
          </w:p>
        </w:tc>
      </w:tr>
      <w:tr>
        <w:trPr>
          <w:cantSplit w:val="0"/>
          <w:tblHeader w:val="0"/>
        </w:trPr>
        <w:tc>
          <w:tcPr>
            <w:shd w:fill="ffffff" w:val="clear"/>
            <w:tcMar>
              <w:top w:w="120.0" w:type="dxa"/>
              <w:left w:w="160.0" w:type="dxa"/>
              <w:bottom w:w="120.0" w:type="dxa"/>
              <w:right w:w="160.0" w:type="dxa"/>
            </w:tcMar>
            <w:vAlign w:val="top"/>
          </w:tcPr>
          <w:p>
            <w:r/>
            <w:r>
              <w:rPr>
                <w:rFonts w:ascii="Arial" w:hAnsi="Arial"/>
                <w:b/>
                <w:sz w:val="18"/>
              </w:rPr>
              <w:t>03/10/2026</w:t>
            </w:r>
          </w:p>
        </w:tc>
        <w:tc>
          <w:tcPr>
            <w:shd w:fill="ffffff" w:val="clear"/>
            <w:tcMar>
              <w:top w:w="120.0" w:type="dxa"/>
              <w:left w:w="160.0" w:type="dxa"/>
              <w:bottom w:w="120.0" w:type="dxa"/>
              <w:right w:w="160.0" w:type="dxa"/>
            </w:tcMar>
            <w:vAlign w:val="top"/>
          </w:tcPr>
          <w:p>
            <w:r/>
            <w:r>
              <w:rPr>
                <w:rFonts w:ascii="Arial" w:hAnsi="Arial"/>
                <w:b w:val="0"/>
                <w:sz w:val="18"/>
              </w:rPr>
              <w:t>Google Antigravity IDE / Claude</w:t>
            </w:r>
          </w:p>
        </w:tc>
        <w:tc>
          <w:tcPr>
            <w:shd w:fill="ffffff" w:val="clear"/>
            <w:tcMar>
              <w:top w:w="120.0" w:type="dxa"/>
              <w:left w:w="160.0" w:type="dxa"/>
              <w:bottom w:w="120.0" w:type="dxa"/>
              <w:right w:w="160.0" w:type="dxa"/>
            </w:tcMar>
            <w:vAlign w:val="top"/>
          </w:tcPr>
          <w:p>
            <w:r/>
            <w:r>
              <w:rPr>
                <w:rFonts w:ascii="Arial" w:hAnsi="Arial"/>
                <w:sz w:val="18"/>
              </w:rPr>
              <w:t>Prompt: "Generar número de pedido diario consecutivo que se reinicie automáticamente a 1 a la medianoche."</w:t>
            </w:r>
          </w:p>
          <w:p/>
          <w:p>
            <w:r>
              <w:rPr>
                <w:rFonts w:ascii="Arial" w:hAnsi="Arial"/>
                <w:sz w:val="18"/>
              </w:rPr>
              <w:t>Salida IA: Búsqueda del inicio del día con new Date().setHours(0, 0, 0, 0) o fecha ISO basada en la hora del servidor.</w:t>
            </w:r>
          </w:p>
        </w:tc>
        <w:tc>
          <w:tcPr>
            <w:shd w:fill="ffffff" w:val="clear"/>
            <w:tcMar>
              <w:top w:w="120.0" w:type="dxa"/>
              <w:left w:w="160.0" w:type="dxa"/>
              <w:bottom w:w="120.0" w:type="dxa"/>
              <w:right w:w="160.0" w:type="dxa"/>
            </w:tcMar>
            <w:vAlign w:val="top"/>
          </w:tcPr>
          <w:p>
            <w:r/>
            <w:r>
              <w:rPr>
                <w:rFonts w:ascii="Arial" w:hAnsi="Arial"/>
                <w:sz w:val="18"/>
              </w:rPr>
              <w:t>El líder identificó que en servidores Cloud (Render/Docker en UTC), el consecutivo se reiniciaba a las 7:00 PM de Colombia (medianoche UTC) en pleno servicio de cena. Se implementó Intl.DateTimeFormat forzando la zona horaria America/Bogota (UTC-5) para delimitar el día operativo.</w:t>
            </w:r>
          </w:p>
        </w:tc>
        <w:tc>
          <w:tcPr>
            <w:shd w:fill="ffffff" w:val="clear"/>
            <w:tcMar>
              <w:top w:w="120.0" w:type="dxa"/>
              <w:left w:w="160.0" w:type="dxa"/>
              <w:bottom w:w="120.0" w:type="dxa"/>
              <w:right w:w="160.0" w:type="dxa"/>
            </w:tcMar>
            <w:vAlign w:val="top"/>
          </w:tcPr>
          <w:p>
            <w:r/>
            <w:r>
              <w:rPr>
                <w:rFonts w:ascii="Arial" w:hAnsi="Arial"/>
                <w:sz w:val="18"/>
              </w:rPr>
              <w:t>Consecutivo comercial sincronizado estrictamente con el horario local colombiano.</w:t>
            </w:r>
          </w:p>
          <w:p/>
          <w:p>
            <w:r>
              <w:rPr>
                <w:rFonts w:ascii="Arial" w:hAnsi="Arial"/>
                <w:sz w:val="18"/>
              </w:rPr>
              <w:t>✅ Tests aprobados en pedidos.service.spec.ts</w:t>
            </w:r>
          </w:p>
        </w:tc>
      </w:tr>
      <w:tr>
        <w:trPr>
          <w:cantSplit w:val="0"/>
          <w:tblHeader w:val="0"/>
        </w:trPr>
        <w:tc>
          <w:tcPr>
            <w:shd w:fill="f8fafc" w:val="clear"/>
            <w:tcMar>
              <w:top w:w="120.0" w:type="dxa"/>
              <w:left w:w="160.0" w:type="dxa"/>
              <w:bottom w:w="120.0" w:type="dxa"/>
              <w:right w:w="160.0" w:type="dxa"/>
            </w:tcMar>
            <w:vAlign w:val="top"/>
          </w:tcPr>
          <w:p>
            <w:r/>
            <w:r>
              <w:rPr>
                <w:rFonts w:ascii="Arial" w:hAnsi="Arial"/>
                <w:b/>
                <w:sz w:val="18"/>
              </w:rPr>
              <w:t>05/10/2026</w:t>
            </w:r>
          </w:p>
        </w:tc>
        <w:tc>
          <w:tcPr>
            <w:shd w:fill="f8fafc" w:val="clear"/>
            <w:tcMar>
              <w:top w:w="120.0" w:type="dxa"/>
              <w:left w:w="160.0" w:type="dxa"/>
              <w:bottom w:w="120.0" w:type="dxa"/>
              <w:right w:w="160.0" w:type="dxa"/>
            </w:tcMar>
            <w:vAlign w:val="top"/>
          </w:tcPr>
          <w:p>
            <w:r/>
            <w:r>
              <w:rPr>
                <w:rFonts w:ascii="Arial" w:hAnsi="Arial"/>
                <w:b w:val="0"/>
                <w:sz w:val="18"/>
              </w:rPr>
              <w:t>Google Antigravity IDE / Copilot</w:t>
            </w:r>
          </w:p>
        </w:tc>
        <w:tc>
          <w:tcPr>
            <w:shd w:fill="f8fafc" w:val="clear"/>
            <w:tcMar>
              <w:top w:w="120.0" w:type="dxa"/>
              <w:left w:w="160.0" w:type="dxa"/>
              <w:bottom w:w="120.0" w:type="dxa"/>
              <w:right w:w="160.0" w:type="dxa"/>
            </w:tcMar>
            <w:vAlign w:val="top"/>
          </w:tcPr>
          <w:p>
            <w:r/>
            <w:r>
              <w:rPr>
                <w:rFonts w:ascii="Arial" w:hAnsi="Arial"/>
                <w:sz w:val="18"/>
              </w:rPr>
              <w:t>Prompt: "Crear servicio para registrar comanda vinculando productos y cantidades."</w:t>
            </w:r>
          </w:p>
          <w:p/>
          <w:p>
            <w:r>
              <w:rPr>
                <w:rFonts w:ascii="Arial" w:hAnsi="Arial"/>
                <w:sz w:val="18"/>
              </w:rPr>
              <w:t>Salida IA: Guardar solo id_producto y calcular totales relacionando el precio actual en catálogo, o recibir precio del frontend.</w:t>
            </w:r>
          </w:p>
        </w:tc>
        <w:tc>
          <w:tcPr>
            <w:shd w:fill="f8fafc" w:val="clear"/>
            <w:tcMar>
              <w:top w:w="120.0" w:type="dxa"/>
              <w:left w:w="160.0" w:type="dxa"/>
              <w:bottom w:w="120.0" w:type="dxa"/>
              <w:right w:w="160.0" w:type="dxa"/>
            </w:tcMar>
            <w:vAlign w:val="top"/>
          </w:tcPr>
          <w:p>
            <w:r/>
            <w:r>
              <w:rPr>
                <w:rFonts w:ascii="Arial" w:hAnsi="Arial"/>
                <w:sz w:val="18"/>
              </w:rPr>
              <w:t>El desarrollador advirtió dos riesgos severos: 1) si cambia la carta en el futuro, las facturas históricas se alteran retroactivamente; 2) manipulación de precios desde el cliente (OWASP A06). Se corrigió forzando la lectura en BD y congelando de forma inmutable DetallePedido.precio_unitario.</w:t>
            </w:r>
          </w:p>
        </w:tc>
        <w:tc>
          <w:tcPr>
            <w:shd w:fill="f8fafc" w:val="clear"/>
            <w:tcMar>
              <w:top w:w="120.0" w:type="dxa"/>
              <w:left w:w="160.0" w:type="dxa"/>
              <w:bottom w:w="120.0" w:type="dxa"/>
              <w:right w:w="160.0" w:type="dxa"/>
            </w:tcMar>
            <w:vAlign w:val="top"/>
          </w:tcPr>
          <w:p>
            <w:r/>
            <w:r>
              <w:rPr>
                <w:rFonts w:ascii="Arial" w:hAnsi="Arial"/>
                <w:sz w:val="18"/>
              </w:rPr>
              <w:t>Integridad contable blindada contra alteraciones históricas o manipulación de precios.</w:t>
            </w:r>
          </w:p>
          <w:p/>
          <w:p>
            <w:r>
              <w:rPr>
                <w:rFonts w:ascii="Arial" w:hAnsi="Arial"/>
                <w:sz w:val="18"/>
              </w:rPr>
              <w:t>✅ Test aprobado en database-integrity.spec.ts</w:t>
            </w:r>
          </w:p>
        </w:tc>
      </w:tr>
      <w:tr>
        <w:trPr>
          <w:cantSplit w:val="0"/>
          <w:tblHeader w:val="0"/>
        </w:trPr>
        <w:tc>
          <w:tcPr>
            <w:shd w:fill="ffffff" w:val="clear"/>
            <w:tcMar>
              <w:top w:w="120.0" w:type="dxa"/>
              <w:left w:w="160.0" w:type="dxa"/>
              <w:bottom w:w="120.0" w:type="dxa"/>
              <w:right w:w="160.0" w:type="dxa"/>
            </w:tcMar>
            <w:vAlign w:val="top"/>
          </w:tcPr>
          <w:p>
            <w:r/>
            <w:r>
              <w:rPr>
                <w:rFonts w:ascii="Arial" w:hAnsi="Arial"/>
                <w:b/>
                <w:sz w:val="18"/>
              </w:rPr>
              <w:t>07/10/2026</w:t>
            </w:r>
          </w:p>
        </w:tc>
        <w:tc>
          <w:tcPr>
            <w:shd w:fill="ffffff" w:val="clear"/>
            <w:tcMar>
              <w:top w:w="120.0" w:type="dxa"/>
              <w:left w:w="160.0" w:type="dxa"/>
              <w:bottom w:w="120.0" w:type="dxa"/>
              <w:right w:w="160.0" w:type="dxa"/>
            </w:tcMar>
            <w:vAlign w:val="top"/>
          </w:tcPr>
          <w:p>
            <w:r/>
            <w:r>
              <w:rPr>
                <w:rFonts w:ascii="Arial" w:hAnsi="Arial"/>
                <w:b w:val="0"/>
                <w:sz w:val="18"/>
              </w:rPr>
              <w:t>Google Antigravity IDE / Claude</w:t>
            </w:r>
          </w:p>
        </w:tc>
        <w:tc>
          <w:tcPr>
            <w:shd w:fill="ffffff" w:val="clear"/>
            <w:tcMar>
              <w:top w:w="120.0" w:type="dxa"/>
              <w:left w:w="160.0" w:type="dxa"/>
              <w:bottom w:w="120.0" w:type="dxa"/>
              <w:right w:w="160.0" w:type="dxa"/>
            </w:tcMar>
            <w:vAlign w:val="top"/>
          </w:tcPr>
          <w:p>
            <w:r/>
            <w:r>
              <w:rPr>
                <w:rFonts w:ascii="Arial" w:hAnsi="Arial"/>
                <w:sz w:val="18"/>
              </w:rPr>
              <w:t>Prompt: "Implementar la función anularFactura en facturacion.service.ts."</w:t>
            </w:r>
          </w:p>
          <w:p/>
          <w:p>
            <w:r>
              <w:rPr>
                <w:rFonts w:ascii="Arial" w:hAnsi="Arial"/>
                <w:sz w:val="18"/>
              </w:rPr>
              <w:t>Salida IA: Actualización simple aislada con prisma.factura.update({ where: { id }, data: { estado: 'anulada' } }).</w:t>
            </w:r>
          </w:p>
        </w:tc>
        <w:tc>
          <w:tcPr>
            <w:shd w:fill="ffffff" w:val="clear"/>
            <w:tcMar>
              <w:top w:w="120.0" w:type="dxa"/>
              <w:left w:w="160.0" w:type="dxa"/>
              <w:bottom w:w="120.0" w:type="dxa"/>
              <w:right w:w="160.0" w:type="dxa"/>
            </w:tcMar>
            <w:vAlign w:val="top"/>
          </w:tcPr>
          <w:p>
            <w:r/>
            <w:r>
              <w:rPr>
                <w:rFonts w:ascii="Arial" w:hAnsi="Arial"/>
                <w:sz w:val="18"/>
              </w:rPr>
              <w:t>El desarrollador detectó que la anulación dejaba el inventario descuadrado y los pedidos vinculados bloqueados. Se refactorizó usando prisma.$transaction() atómico para verificar controla_inventario y revertir el stock con increment: item.cantidad, desvinculando pedidos y auditando el evento.</w:t>
            </w:r>
          </w:p>
        </w:tc>
        <w:tc>
          <w:tcPr>
            <w:shd w:fill="ffffff" w:val="clear"/>
            <w:tcMar>
              <w:top w:w="120.0" w:type="dxa"/>
              <w:left w:w="160.0" w:type="dxa"/>
              <w:bottom w:w="120.0" w:type="dxa"/>
              <w:right w:w="160.0" w:type="dxa"/>
            </w:tcMar>
            <w:vAlign w:val="top"/>
          </w:tcPr>
          <w:p>
            <w:r/>
            <w:r>
              <w:rPr>
                <w:rFonts w:ascii="Arial" w:hAnsi="Arial"/>
                <w:sz w:val="18"/>
              </w:rPr>
              <w:t>Consistencia contable ACID y restauración automática de stock sin condiciones de carrera.</w:t>
            </w:r>
          </w:p>
          <w:p/>
          <w:p>
            <w:r>
              <w:rPr>
                <w:rFonts w:ascii="Arial" w:hAnsi="Arial"/>
                <w:sz w:val="18"/>
              </w:rPr>
              <w:t>✅ Tests aprobados en facturacion.service.spec.ts</w:t>
            </w:r>
          </w:p>
        </w:tc>
      </w:tr>
      <w:tr>
        <w:trPr>
          <w:cantSplit w:val="0"/>
          <w:tblHeader w:val="0"/>
        </w:trPr>
        <w:tc>
          <w:tcPr>
            <w:shd w:fill="f8fafc" w:val="clear"/>
            <w:tcMar>
              <w:top w:w="120.0" w:type="dxa"/>
              <w:left w:w="160.0" w:type="dxa"/>
              <w:bottom w:w="120.0" w:type="dxa"/>
              <w:right w:w="160.0" w:type="dxa"/>
            </w:tcMar>
            <w:vAlign w:val="top"/>
          </w:tcPr>
          <w:p>
            <w:r/>
            <w:r>
              <w:rPr>
                <w:rFonts w:ascii="Arial" w:hAnsi="Arial"/>
                <w:b/>
                <w:sz w:val="18"/>
              </w:rPr>
              <w:t>09/10/2026</w:t>
            </w:r>
          </w:p>
        </w:tc>
        <w:tc>
          <w:tcPr>
            <w:shd w:fill="f8fafc" w:val="clear"/>
            <w:tcMar>
              <w:top w:w="120.0" w:type="dxa"/>
              <w:left w:w="160.0" w:type="dxa"/>
              <w:bottom w:w="120.0" w:type="dxa"/>
              <w:right w:w="160.0" w:type="dxa"/>
            </w:tcMar>
            <w:vAlign w:val="top"/>
          </w:tcPr>
          <w:p>
            <w:r/>
            <w:r>
              <w:rPr>
                <w:rFonts w:ascii="Arial" w:hAnsi="Arial"/>
                <w:b w:val="0"/>
                <w:sz w:val="18"/>
              </w:rPr>
              <w:t>Google Antigravity IDE / Copilot</w:t>
            </w:r>
          </w:p>
        </w:tc>
        <w:tc>
          <w:tcPr>
            <w:shd w:fill="f8fafc" w:val="clear"/>
            <w:tcMar>
              <w:top w:w="120.0" w:type="dxa"/>
              <w:left w:w="160.0" w:type="dxa"/>
              <w:bottom w:w="120.0" w:type="dxa"/>
              <w:right w:w="160.0" w:type="dxa"/>
            </w:tcMar>
            <w:vAlign w:val="top"/>
          </w:tcPr>
          <w:p>
            <w:r/>
            <w:r>
              <w:rPr>
                <w:rFonts w:ascii="Arial" w:hAnsi="Arial"/>
                <w:sz w:val="18"/>
              </w:rPr>
              <w:t>Prompt: "Crear autenticación con Google en NestJS recibiendo el token del frontend."</w:t>
            </w:r>
          </w:p>
          <w:p/>
          <w:p>
            <w:r>
              <w:rPr>
                <w:rFonts w:ascii="Arial" w:hAnsi="Arial"/>
                <w:sz w:val="18"/>
              </w:rPr>
              <w:t>Salida IA: Decodificación básica del token mediante jwt.decode() sin verificar la firma criptográfica con Google.</w:t>
            </w:r>
          </w:p>
        </w:tc>
        <w:tc>
          <w:tcPr>
            <w:shd w:fill="f8fafc" w:val="clear"/>
            <w:tcMar>
              <w:top w:w="120.0" w:type="dxa"/>
              <w:left w:w="160.0" w:type="dxa"/>
              <w:bottom w:w="120.0" w:type="dxa"/>
              <w:right w:w="160.0" w:type="dxa"/>
            </w:tcMar>
            <w:vAlign w:val="top"/>
          </w:tcPr>
          <w:p>
            <w:r/>
            <w:r>
              <w:rPr>
                <w:rFonts w:ascii="Arial" w:hAnsi="Arial"/>
                <w:sz w:val="18"/>
              </w:rPr>
              <w:t>El líder identificó una vulnerabilidad crítica OWASP A08 (suplantación de identidad): cualquiera podía forjar un token con un correo ajeno. Se integró google-auth-library con verifyIdToken({ idToken, audience }) y se exigió estrictamente que payload.email_verified sea true.</w:t>
            </w:r>
          </w:p>
        </w:tc>
        <w:tc>
          <w:tcPr>
            <w:shd w:fill="f8fafc" w:val="clear"/>
            <w:tcMar>
              <w:top w:w="120.0" w:type="dxa"/>
              <w:left w:w="160.0" w:type="dxa"/>
              <w:bottom w:w="120.0" w:type="dxa"/>
              <w:right w:w="160.0" w:type="dxa"/>
            </w:tcMar>
            <w:vAlign w:val="top"/>
          </w:tcPr>
          <w:p>
            <w:r/>
            <w:r>
              <w:rPr>
                <w:rFonts w:ascii="Arial" w:hAnsi="Arial"/>
                <w:sz w:val="18"/>
              </w:rPr>
              <w:t>Acceso seguro SSO mediante validación asimétrica en tiempo real.</w:t>
            </w:r>
          </w:p>
          <w:p/>
          <w:p>
            <w:r>
              <w:rPr>
                <w:rFonts w:ascii="Arial" w:hAnsi="Arial"/>
                <w:sz w:val="18"/>
              </w:rPr>
              <w:t>✅ Tests aprobados en auth.service.spec.ts</w:t>
            </w:r>
          </w:p>
        </w:tc>
      </w:tr>
      <w:tr>
        <w:trPr>
          <w:cantSplit w:val="0"/>
          <w:tblHeader w:val="0"/>
        </w:trPr>
        <w:tc>
          <w:tcPr>
            <w:shd w:fill="ffffff" w:val="clear"/>
            <w:tcMar>
              <w:top w:w="120.0" w:type="dxa"/>
              <w:left w:w="160.0" w:type="dxa"/>
              <w:bottom w:w="120.0" w:type="dxa"/>
              <w:right w:w="160.0" w:type="dxa"/>
            </w:tcMar>
            <w:vAlign w:val="top"/>
          </w:tcPr>
          <w:p>
            <w:r/>
            <w:r>
              <w:rPr>
                <w:rFonts w:ascii="Arial" w:hAnsi="Arial"/>
                <w:b/>
                <w:sz w:val="18"/>
              </w:rPr>
              <w:t>11/10/2026</w:t>
            </w:r>
          </w:p>
        </w:tc>
        <w:tc>
          <w:tcPr>
            <w:shd w:fill="ffffff" w:val="clear"/>
            <w:tcMar>
              <w:top w:w="120.0" w:type="dxa"/>
              <w:left w:w="160.0" w:type="dxa"/>
              <w:bottom w:w="120.0" w:type="dxa"/>
              <w:right w:w="160.0" w:type="dxa"/>
            </w:tcMar>
            <w:vAlign w:val="top"/>
          </w:tcPr>
          <w:p>
            <w:r/>
            <w:r>
              <w:rPr>
                <w:rFonts w:ascii="Arial" w:hAnsi="Arial"/>
                <w:b w:val="0"/>
                <w:sz w:val="18"/>
              </w:rPr>
              <w:t>Google Antigravity IDE / Copilot</w:t>
            </w:r>
          </w:p>
        </w:tc>
        <w:tc>
          <w:tcPr>
            <w:shd w:fill="ffffff" w:val="clear"/>
            <w:tcMar>
              <w:top w:w="120.0" w:type="dxa"/>
              <w:left w:w="160.0" w:type="dxa"/>
              <w:bottom w:w="120.0" w:type="dxa"/>
              <w:right w:w="160.0" w:type="dxa"/>
            </w:tcMar>
            <w:vAlign w:val="top"/>
          </w:tcPr>
          <w:p>
            <w:r/>
            <w:r>
              <w:rPr>
                <w:rFonts w:ascii="Arial" w:hAnsi="Arial"/>
                <w:sz w:val="18"/>
              </w:rPr>
              <w:t>Prompt: "Crear función cerrarCaja que reciba el arqueo físico y guarde el estado cerrada."</w:t>
            </w:r>
          </w:p>
          <w:p/>
          <w:p>
            <w:r>
              <w:rPr>
                <w:rFonts w:ascii="Arial" w:hAnsi="Arial"/>
                <w:sz w:val="18"/>
              </w:rPr>
              <w:t>Salida IA: Cálculo directo de faltante/sobrante y cierre inmediato de caja.</w:t>
            </w:r>
          </w:p>
        </w:tc>
        <w:tc>
          <w:tcPr>
            <w:shd w:fill="ffffff" w:val="clear"/>
            <w:tcMar>
              <w:top w:w="120.0" w:type="dxa"/>
              <w:left w:w="160.0" w:type="dxa"/>
              <w:bottom w:w="120.0" w:type="dxa"/>
              <w:right w:w="160.0" w:type="dxa"/>
            </w:tcMar>
            <w:vAlign w:val="top"/>
          </w:tcPr>
          <w:p>
            <w:r/>
            <w:r>
              <w:rPr>
                <w:rFonts w:ascii="Arial" w:hAnsi="Arial"/>
                <w:sz w:val="18"/>
              </w:rPr>
              <w:t>El desarrollador identificó que si el cajero cerraba turno con comandas enviadas a cocina pero aún no facturadas, esas ventas quedaban huérfanas fuera del arqueo. Se implementó una validación que cuenta pedidos activos sin factura y bloquea el cierre con BadRequestException hasta liquidar las cuentas.</w:t>
            </w:r>
          </w:p>
        </w:tc>
        <w:tc>
          <w:tcPr>
            <w:shd w:fill="ffffff" w:val="clear"/>
            <w:tcMar>
              <w:top w:w="120.0" w:type="dxa"/>
              <w:left w:w="160.0" w:type="dxa"/>
              <w:bottom w:w="120.0" w:type="dxa"/>
              <w:right w:w="160.0" w:type="dxa"/>
            </w:tcMar>
            <w:vAlign w:val="top"/>
          </w:tcPr>
          <w:p>
            <w:r/>
            <w:r>
              <w:rPr>
                <w:rFonts w:ascii="Arial" w:hAnsi="Arial"/>
                <w:sz w:val="18"/>
              </w:rPr>
              <w:t>Arqueo íntegro y prevención de pérdidas operativas en el turno.</w:t>
            </w:r>
          </w:p>
          <w:p/>
          <w:p>
            <w:r>
              <w:rPr>
                <w:rFonts w:ascii="Arial" w:hAnsi="Arial"/>
                <w:sz w:val="18"/>
              </w:rPr>
              <w:t>✅ Tests aprobados en caja.service.spec.ts</w:t>
            </w:r>
          </w:p>
        </w:tc>
      </w:tr>
    </w:tbl>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color w:val="1f2937"/>
          <w:sz w:val="21"/>
          <w:szCs w:val="21"/>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rial" w:cs="Arial" w:eastAsia="Arial" w:hAnsi="Arial"/>
          <w:b w:val="0"/>
          <w:bCs w:val="0"/>
          <w:color w:val="1f2937"/>
          <w:sz w:val="12"/>
          <w:szCs w:val="12"/>
        </w:rPr>
      </w:pPr>
      <w:r w:rsidDel="00000000" w:rsidR="00000000" w:rsidRPr="00000000">
        <w:rPr>
          <w:rtl w:val="0"/>
        </w:rPr>
      </w:r>
    </w:p>
    <w:p w:rsidR="00000000" w:rsidDel="00000000" w:rsidP="00000000" w:rsidRDefault="00000000" w:rsidRPr="00000000" w14:paraId="00000144">
      <w:pPr>
        <w:pStyle w:val="Heading2"/>
        <w:spacing w:after="120" w:before="280" w:lineRule="auto"/>
        <w:rPr>
          <w:rFonts w:ascii="Arial" w:cs="Arial" w:eastAsia="Arial" w:hAnsi="Arial"/>
          <w:b w:val="1"/>
          <w:bCs w:val="1"/>
          <w:color w:val="1e40af"/>
          <w:sz w:val="23"/>
          <w:szCs w:val="23"/>
        </w:rPr>
      </w:pPr>
      <w:bookmarkStart w:colFirst="0" w:colLast="0" w:name="_9ndbltswwfld" w:id="32"/>
      <w:bookmarkEnd w:id="32"/>
      <w:r w:rsidDel="00000000" w:rsidR="00000000" w:rsidRPr="00000000">
        <w:rPr>
          <w:rFonts w:ascii="Arial" w:cs="Arial" w:eastAsia="Arial" w:hAnsi="Arial"/>
          <w:b w:val="1"/>
          <w:bCs w:val="1"/>
          <w:color w:val="1e40af"/>
          <w:sz w:val="23"/>
          <w:szCs w:val="23"/>
          <w:rtl w:val="0"/>
        </w:rPr>
        <w:t xml:space="preserve">8.2. Estándar de Etiquetado de Código Asistido en Pull Requests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w:cs="Arial" w:eastAsia="Arial" w:hAnsi="Arial"/>
          <w:b w:val="0"/>
          <w:bCs w:val="0"/>
          <w:color w:val="1f2937"/>
          <w:sz w:val="21"/>
          <w:szCs w:val="21"/>
        </w:rPr>
      </w:pPr>
      <w:r w:rsidDel="00000000" w:rsidR="00000000" w:rsidRPr="00000000">
        <w:rPr>
          <w:rFonts w:ascii="Arial" w:cs="Arial" w:eastAsia="Arial" w:hAnsi="Arial"/>
          <w:b w:val="0"/>
          <w:bCs w:val="0"/>
          <w:color w:val="1f2937"/>
          <w:sz w:val="21"/>
          <w:szCs w:val="21"/>
          <w:rtl w:val="0"/>
        </w:rPr>
        <w:t xml:space="preserve">Toda contribución que contó con asistencia generativa fue documentada explícitamente en las descripciones de los Pull Requests y mensajes de commit en GitHub bajo la siguiente estructura:</w:t>
      </w:r>
    </w:p>
    <w:tbl>
      <w:tblPr>
        <w:tblStyle w:val="Table12"/>
        <w:tblW w:w="960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9600"/>
        <w:tblGridChange w:id="0">
          <w:tblGrid>
            <w:gridCol w:w="9600"/>
          </w:tblGrid>
        </w:tblGridChange>
      </w:tblGrid>
      <w:tr>
        <w:trPr>
          <w:cantSplit w:val="0"/>
          <w:tblHeader w:val="0"/>
        </w:trPr>
        <w:tc>
          <w:tcPr>
            <w:shd w:fill="1b365d" w:val="clear"/>
            <w:tcMar>
              <w:top w:w="120.0" w:type="dxa"/>
              <w:left w:w="160.0" w:type="dxa"/>
              <w:bottom w:w="120.0" w:type="dxa"/>
              <w:right w:w="160.0" w:type="dxa"/>
            </w:tcM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Plantilla Oficial de Trazabilidad en Commits y Pull Requests (GitHub)</w:t>
            </w:r>
          </w:p>
        </w:tc>
      </w:tr>
      <w:tr>
        <w:trPr>
          <w:cantSplit w:val="0"/>
          <w:tblHeader w:val="0"/>
        </w:trPr>
        <w:tc>
          <w:tcPr>
            <w:shd w:fill="ffffff" w:val="clear"/>
            <w:tcMar>
              <w:top w:w="120.0" w:type="dxa"/>
              <w:left w:w="160.0" w:type="dxa"/>
              <w:bottom w:w="120.0" w:type="dxa"/>
              <w:right w:w="16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 w:lineRule="auto"/>
              <w:ind w:left="0" w:right="0" w:firstLine="0"/>
              <w:jc w:val="left"/>
              <w:rPr>
                <w:rFonts w:ascii="Arial" w:cs="Arial" w:eastAsia="Arial" w:hAnsi="Arial"/>
                <w:b w:val="1"/>
                <w:bCs w:val="1"/>
                <w:color w:val="1f2937"/>
                <w:sz w:val="19"/>
                <w:szCs w:val="19"/>
              </w:rPr>
            </w:pPr>
            <w:r w:rsidDel="00000000" w:rsidR="00000000" w:rsidRPr="00000000">
              <w:rPr>
                <w:rFonts w:ascii="Arial" w:cs="Arial" w:eastAsia="Arial" w:hAnsi="Arial"/>
                <w:b w:val="1"/>
                <w:bCs w:val="1"/>
                <w:color w:val="1f2937"/>
                <w:sz w:val="19"/>
                <w:szCs w:val="19"/>
                <w:rtl w:val="0"/>
              </w:rPr>
              <w:t xml:space="preserve">[IA-ASSISTED] &lt;Módulo&gt;: &lt;Descripción técnica de la función o componente&gt;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2937"/>
                <w:sz w:val="19"/>
                <w:szCs w:val="19"/>
              </w:rPr>
            </w:pPr>
            <w:r w:rsidDel="00000000" w:rsidR="00000000" w:rsidRPr="00000000">
              <w:rPr>
                <w:rFonts w:ascii="Arial" w:cs="Arial" w:eastAsia="Arial" w:hAnsi="Arial"/>
                <w:b w:val="1"/>
                <w:bCs w:val="1"/>
                <w:color w:val="1f2937"/>
                <w:sz w:val="19"/>
                <w:szCs w:val="19"/>
                <w:rtl w:val="0"/>
              </w:rPr>
              <w:t xml:space="preserve">Herramienta: Google Antigravity IDE / GitHub Copilot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2937"/>
                <w:sz w:val="19"/>
                <w:szCs w:val="19"/>
              </w:rPr>
            </w:pPr>
            <w:r w:rsidDel="00000000" w:rsidR="00000000" w:rsidRPr="00000000">
              <w:rPr>
                <w:rFonts w:ascii="Arial" w:cs="Arial" w:eastAsia="Arial" w:hAnsi="Arial"/>
                <w:b w:val="1"/>
                <w:bCs w:val="1"/>
                <w:color w:val="1f2937"/>
                <w:sz w:val="19"/>
                <w:szCs w:val="19"/>
                <w:rtl w:val="0"/>
              </w:rPr>
              <w:t xml:space="preserve">Intervención HITL: &lt;Detalle de la refactorización de seguridad, tipado estricto o lógica contable aplicada&gt;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2937"/>
                <w:sz w:val="19"/>
                <w:szCs w:val="19"/>
              </w:rPr>
            </w:pPr>
            <w:r w:rsidDel="00000000" w:rsidR="00000000" w:rsidRPr="00000000">
              <w:rPr>
                <w:rFonts w:ascii="Arial" w:cs="Arial" w:eastAsia="Arial" w:hAnsi="Arial"/>
                <w:b w:val="1"/>
                <w:bCs w:val="1"/>
                <w:color w:val="1f2937"/>
                <w:sz w:val="19"/>
                <w:szCs w:val="19"/>
                <w:rtl w:val="0"/>
              </w:rPr>
              <w:t xml:space="preserve">Validación: Pruebas unitarias en Jest aprobadas + Auditoría estática con Oxlint y CodeQL</w:t>
            </w:r>
          </w:p>
        </w:tc>
      </w:tr>
    </w:tbl>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color w:val="1f2937"/>
          <w:sz w:val="21"/>
          <w:szCs w:val="21"/>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rial" w:cs="Arial" w:eastAsia="Arial" w:hAnsi="Arial"/>
          <w:b w:val="0"/>
          <w:bCs w:val="0"/>
          <w:color w:val="1f2937"/>
          <w:sz w:val="12"/>
          <w:szCs w:val="12"/>
        </w:rPr>
      </w:pPr>
      <w:r w:rsidDel="00000000" w:rsidR="00000000" w:rsidRPr="00000000">
        <w:rPr>
          <w:rtl w:val="0"/>
        </w:rPr>
      </w:r>
    </w:p>
    <w:p w:rsidR="00000000" w:rsidDel="00000000" w:rsidP="00000000" w:rsidRDefault="00000000" w:rsidRPr="00000000" w14:paraId="0000014D">
      <w:pPr>
        <w:pStyle w:val="Heading3"/>
        <w:spacing w:after="80" w:before="200" w:lineRule="auto"/>
        <w:rPr>
          <w:rFonts w:ascii="Arial" w:cs="Arial" w:eastAsia="Arial" w:hAnsi="Arial"/>
          <w:b w:val="1"/>
          <w:bCs w:val="1"/>
          <w:color w:val="334155"/>
          <w:sz w:val="21"/>
          <w:szCs w:val="21"/>
        </w:rPr>
      </w:pPr>
      <w:bookmarkStart w:colFirst="0" w:colLast="0" w:name="_sbi3kh64vc0x" w:id="33"/>
      <w:bookmarkEnd w:id="33"/>
      <w:r w:rsidDel="00000000" w:rsidR="00000000" w:rsidRPr="00000000">
        <w:rPr>
          <w:rFonts w:ascii="Arial" w:cs="Arial" w:eastAsia="Arial" w:hAnsi="Arial"/>
          <w:b w:val="1"/>
          <w:bCs w:val="1"/>
          <w:color w:val="334155"/>
          <w:sz w:val="21"/>
          <w:szCs w:val="21"/>
          <w:rtl w:val="0"/>
        </w:rPr>
        <w:t xml:space="preserve">Verificación de Gobernanza de IA en Código:</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Bitácora de prompts técnicos documentada con evidencia de corrección humana (HITL).</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Código asistido debidamente etiquetado con el prefijo [IA-ASSISTED] en PRs y commits.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Totalidad del código intervenido validado con pruebas unitarias automatizadas.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64" w:lineRule="auto"/>
        <w:ind w:left="280" w:right="0" w:hanging="280"/>
        <w:jc w:val="left"/>
        <w:rPr>
          <w:rFonts w:ascii="Arial" w:cs="Arial" w:eastAsia="Arial" w:hAnsi="Arial"/>
          <w:b w:val="0"/>
          <w:bCs w:val="0"/>
          <w:color w:val="0f5132"/>
          <w:sz w:val="20"/>
          <w:szCs w:val="20"/>
        </w:rPr>
      </w:pPr>
      <w:r w:rsidDel="00000000" w:rsidR="00000000" w:rsidRPr="00000000">
        <w:rPr>
          <w:rFonts w:ascii="Arial" w:cs="Arial" w:eastAsia="Arial" w:hAnsi="Arial"/>
          <w:b w:val="1"/>
          <w:bCs w:val="1"/>
          <w:color w:val="0f5132"/>
          <w:sz w:val="20"/>
          <w:szCs w:val="20"/>
          <w:rtl w:val="0"/>
        </w:rPr>
        <w:t xml:space="preserve">☑ </w:t>
      </w:r>
      <w:r w:rsidDel="00000000" w:rsidR="00000000" w:rsidRPr="00000000">
        <w:rPr>
          <w:rFonts w:ascii="Arial" w:cs="Arial" w:eastAsia="Arial" w:hAnsi="Arial"/>
          <w:b w:val="0"/>
          <w:bCs w:val="0"/>
          <w:color w:val="0f5132"/>
          <w:sz w:val="20"/>
          <w:szCs w:val="20"/>
          <w:rtl w:val="0"/>
        </w:rPr>
        <w:t xml:space="preserve"> Código fuente comentado y alineado con el linter estático del proyecto.</w:t>
      </w:r>
    </w:p>
    <w:p w:rsidR="00000000" w:rsidDel="00000000" w:rsidP="00000000" w:rsidRDefault="00000000" w:rsidRPr="00000000" w14:paraId="00000152">
      <w:pPr>
        <w:pStyle w:val="Heading1"/>
        <w:spacing w:after="160" w:before="360" w:lineRule="auto"/>
        <w:rPr>
          <w:rFonts w:ascii="Arial" w:cs="Arial" w:eastAsia="Arial" w:hAnsi="Arial"/>
          <w:b w:val="1"/>
          <w:bCs w:val="1"/>
          <w:color w:val="1b365d"/>
          <w:sz w:val="28"/>
          <w:szCs w:val="28"/>
        </w:rPr>
      </w:pPr>
      <w:bookmarkStart w:colFirst="0" w:colLast="0" w:name="_4ewpeubc6n4o" w:id="34"/>
      <w:bookmarkEnd w:id="34"/>
      <w:r w:rsidDel="00000000" w:rsidR="00000000" w:rsidRPr="00000000">
        <w:rPr>
          <w:rFonts w:ascii="Arial" w:cs="Arial" w:eastAsia="Arial" w:hAnsi="Arial"/>
          <w:b w:val="1"/>
          <w:bCs w:val="1"/>
          <w:color w:val="1b365d"/>
          <w:sz w:val="28"/>
          <w:szCs w:val="28"/>
          <w:rtl w:val="0"/>
        </w:rPr>
        <w:t xml:space="preserve">9. Referencias Bibliográficas (Formato IEEE)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0" w:right="0" w:hanging="560"/>
        <w:jc w:val="both"/>
        <w:rPr>
          <w:rFonts w:ascii="Arial" w:cs="Arial" w:eastAsia="Arial" w:hAnsi="Arial"/>
          <w:b w:val="0"/>
          <w:bCs w:val="0"/>
          <w:color w:val="1f2937"/>
          <w:sz w:val="20"/>
          <w:szCs w:val="20"/>
        </w:rPr>
      </w:pPr>
      <w:r w:rsidDel="00000000" w:rsidR="00000000" w:rsidRPr="00000000">
        <w:rPr>
          <w:rFonts w:ascii="Arial" w:cs="Arial" w:eastAsia="Arial" w:hAnsi="Arial"/>
          <w:b w:val="1"/>
          <w:bCs w:val="1"/>
          <w:color w:val="1f2937"/>
          <w:sz w:val="20"/>
          <w:szCs w:val="20"/>
          <w:rtl w:val="0"/>
        </w:rPr>
        <w:t xml:space="preserve">[1] </w:t>
      </w:r>
      <w:r w:rsidDel="00000000" w:rsidR="00000000" w:rsidRPr="00000000">
        <w:rPr>
          <w:rFonts w:ascii="Arial" w:cs="Arial" w:eastAsia="Arial" w:hAnsi="Arial"/>
          <w:b w:val="0"/>
          <w:bCs w:val="0"/>
          <w:color w:val="1f2937"/>
          <w:sz w:val="20"/>
          <w:szCs w:val="20"/>
          <w:rtl w:val="0"/>
        </w:rPr>
        <w:t xml:space="preserve">International Organization for Standardization, "Systems and software engineering — Systems and software Quality Requirements and Evaluation (SQuaRE) — Product quality model," ISO/IEC 25010:2023, Ginebra, Suiza, 2023. [En línea]. Disponible en: https://www.iso.org/standard/78176.html</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0" w:right="0" w:hanging="560"/>
        <w:jc w:val="both"/>
        <w:rPr>
          <w:rFonts w:ascii="Arial" w:cs="Arial" w:eastAsia="Arial" w:hAnsi="Arial"/>
          <w:b w:val="0"/>
          <w:bCs w:val="0"/>
          <w:color w:val="1f2937"/>
          <w:sz w:val="20"/>
          <w:szCs w:val="20"/>
        </w:rPr>
      </w:pPr>
      <w:r w:rsidDel="00000000" w:rsidR="00000000" w:rsidRPr="00000000">
        <w:rPr>
          <w:rFonts w:ascii="Arial" w:cs="Arial" w:eastAsia="Arial" w:hAnsi="Arial"/>
          <w:b w:val="1"/>
          <w:bCs w:val="1"/>
          <w:color w:val="1f2937"/>
          <w:sz w:val="20"/>
          <w:szCs w:val="20"/>
          <w:rtl w:val="0"/>
        </w:rPr>
        <w:t xml:space="preserve">[2] </w:t>
      </w:r>
      <w:r w:rsidDel="00000000" w:rsidR="00000000" w:rsidRPr="00000000">
        <w:rPr>
          <w:rFonts w:ascii="Arial" w:cs="Arial" w:eastAsia="Arial" w:hAnsi="Arial"/>
          <w:b w:val="0"/>
          <w:bCs w:val="0"/>
          <w:color w:val="1f2937"/>
          <w:sz w:val="20"/>
          <w:szCs w:val="20"/>
          <w:rtl w:val="0"/>
        </w:rPr>
        <w:t xml:space="preserve">Google LLC, "Angular Documentation: Standalone Components and Reactivity with Signals," Angular.dev, 2026. [En línea]. Disponible en: https://angular.dev/guide/signals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0" w:right="0" w:hanging="560"/>
        <w:jc w:val="both"/>
        <w:rPr>
          <w:rFonts w:ascii="Arial" w:cs="Arial" w:eastAsia="Arial" w:hAnsi="Arial"/>
          <w:b w:val="0"/>
          <w:bCs w:val="0"/>
          <w:color w:val="1f2937"/>
          <w:sz w:val="20"/>
          <w:szCs w:val="20"/>
        </w:rPr>
      </w:pPr>
      <w:r w:rsidDel="00000000" w:rsidR="00000000" w:rsidRPr="00000000">
        <w:rPr>
          <w:rFonts w:ascii="Arial" w:cs="Arial" w:eastAsia="Arial" w:hAnsi="Arial"/>
          <w:b w:val="1"/>
          <w:bCs w:val="1"/>
          <w:color w:val="1f2937"/>
          <w:sz w:val="20"/>
          <w:szCs w:val="20"/>
          <w:rtl w:val="0"/>
        </w:rPr>
        <w:t xml:space="preserve">[3] </w:t>
      </w:r>
      <w:r w:rsidDel="00000000" w:rsidR="00000000" w:rsidRPr="00000000">
        <w:rPr>
          <w:rFonts w:ascii="Arial" w:cs="Arial" w:eastAsia="Arial" w:hAnsi="Arial"/>
          <w:b w:val="0"/>
          <w:bCs w:val="0"/>
          <w:color w:val="1f2937"/>
          <w:sz w:val="20"/>
          <w:szCs w:val="20"/>
          <w:rtl w:val="0"/>
        </w:rPr>
        <w:t xml:space="preserve">K. Myśliwiec y Trilon Consulting, "NestJS Documentation: Overview, Controllers, Providers and Validation," Docs.nestjs.com, 2026. [En línea]. Disponible en: https://docs.nestjs.com/</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0" w:right="0" w:hanging="560"/>
        <w:jc w:val="both"/>
        <w:rPr>
          <w:rFonts w:ascii="Arial" w:cs="Arial" w:eastAsia="Arial" w:hAnsi="Arial"/>
          <w:b w:val="0"/>
          <w:bCs w:val="0"/>
          <w:color w:val="1f2937"/>
          <w:sz w:val="20"/>
          <w:szCs w:val="20"/>
        </w:rPr>
      </w:pPr>
      <w:r w:rsidDel="00000000" w:rsidR="00000000" w:rsidRPr="00000000">
        <w:rPr>
          <w:rFonts w:ascii="Arial" w:cs="Arial" w:eastAsia="Arial" w:hAnsi="Arial"/>
          <w:b w:val="1"/>
          <w:bCs w:val="1"/>
          <w:color w:val="1f2937"/>
          <w:sz w:val="20"/>
          <w:szCs w:val="20"/>
          <w:rtl w:val="0"/>
        </w:rPr>
        <w:t xml:space="preserve">[4] </w:t>
      </w:r>
      <w:r w:rsidDel="00000000" w:rsidR="00000000" w:rsidRPr="00000000">
        <w:rPr>
          <w:rFonts w:ascii="Arial" w:cs="Arial" w:eastAsia="Arial" w:hAnsi="Arial"/>
          <w:b w:val="0"/>
          <w:bCs w:val="0"/>
          <w:color w:val="1f2937"/>
          <w:sz w:val="20"/>
          <w:szCs w:val="20"/>
          <w:rtl w:val="0"/>
        </w:rPr>
        <w:t xml:space="preserve">Neon, Inc., "Neon Documentation: Serverless Postgres Architecture and Connection Pooling," Neon.tech, 2026. [En línea]. Disponible en: https://neon.tech/docs/introduction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0" w:right="0" w:hanging="560"/>
        <w:jc w:val="both"/>
        <w:rPr>
          <w:rFonts w:ascii="Arial" w:cs="Arial" w:eastAsia="Arial" w:hAnsi="Arial"/>
          <w:b w:val="0"/>
          <w:bCs w:val="0"/>
          <w:color w:val="1f2937"/>
          <w:sz w:val="20"/>
          <w:szCs w:val="20"/>
        </w:rPr>
      </w:pPr>
      <w:r w:rsidDel="00000000" w:rsidR="00000000" w:rsidRPr="00000000">
        <w:rPr>
          <w:rFonts w:ascii="Arial" w:cs="Arial" w:eastAsia="Arial" w:hAnsi="Arial"/>
          <w:b w:val="1"/>
          <w:bCs w:val="1"/>
          <w:color w:val="1f2937"/>
          <w:sz w:val="20"/>
          <w:szCs w:val="20"/>
          <w:rtl w:val="0"/>
        </w:rPr>
        <w:t xml:space="preserve">[5] </w:t>
      </w:r>
      <w:r w:rsidDel="00000000" w:rsidR="00000000" w:rsidRPr="00000000">
        <w:rPr>
          <w:rFonts w:ascii="Arial" w:cs="Arial" w:eastAsia="Arial" w:hAnsi="Arial"/>
          <w:b w:val="0"/>
          <w:bCs w:val="0"/>
          <w:color w:val="1f2937"/>
          <w:sz w:val="20"/>
          <w:szCs w:val="20"/>
          <w:rtl w:val="0"/>
        </w:rPr>
        <w:t xml:space="preserve">Prisma Data, Inc., "Prisma ORM Documentation: Transactions and Batch Queries ($transaction)," Prisma.io, 2026. [En línea]. Disponible en: https://www.prisma.io/docs/orm/prisma-client/queries/transactions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0" w:right="0" w:hanging="560"/>
        <w:jc w:val="both"/>
        <w:rPr>
          <w:rFonts w:ascii="Arial" w:cs="Arial" w:eastAsia="Arial" w:hAnsi="Arial"/>
          <w:b w:val="0"/>
          <w:bCs w:val="0"/>
          <w:color w:val="1f2937"/>
          <w:sz w:val="20"/>
          <w:szCs w:val="20"/>
        </w:rPr>
      </w:pPr>
      <w:r w:rsidDel="00000000" w:rsidR="00000000" w:rsidRPr="00000000">
        <w:rPr>
          <w:rFonts w:ascii="Arial" w:cs="Arial" w:eastAsia="Arial" w:hAnsi="Arial"/>
          <w:b w:val="1"/>
          <w:bCs w:val="1"/>
          <w:color w:val="1f2937"/>
          <w:sz w:val="20"/>
          <w:szCs w:val="20"/>
          <w:rtl w:val="0"/>
        </w:rPr>
        <w:t xml:space="preserve">[6] </w:t>
      </w:r>
      <w:r w:rsidDel="00000000" w:rsidR="00000000" w:rsidRPr="00000000">
        <w:rPr>
          <w:rFonts w:ascii="Arial" w:cs="Arial" w:eastAsia="Arial" w:hAnsi="Arial"/>
          <w:b w:val="0"/>
          <w:bCs w:val="0"/>
          <w:color w:val="1f2937"/>
          <w:sz w:val="20"/>
          <w:szCs w:val="20"/>
          <w:rtl w:val="0"/>
        </w:rPr>
        <w:t xml:space="preserve">A. Biryukov, D. Dinu y D. Khovratovich, "Argon2 Memory-Hard Function for Password Hashing and Proof-of-Work Applications," Internet Engineering Task Force (IETF), RFC 9106, sep. 2021, doi: 10.17487/RFC9106. [En línea]. Disponible en: https://www.rfc-editor.org/rfc/rfc9106</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0" w:right="0" w:hanging="560"/>
        <w:jc w:val="both"/>
        <w:rPr>
          <w:rFonts w:ascii="Arial" w:cs="Arial" w:eastAsia="Arial" w:hAnsi="Arial"/>
          <w:b w:val="0"/>
          <w:bCs w:val="0"/>
          <w:color w:val="1f2937"/>
          <w:sz w:val="20"/>
          <w:szCs w:val="20"/>
        </w:rPr>
      </w:pPr>
      <w:r w:rsidDel="00000000" w:rsidR="00000000" w:rsidRPr="00000000">
        <w:rPr>
          <w:rFonts w:ascii="Arial" w:cs="Arial" w:eastAsia="Arial" w:hAnsi="Arial"/>
          <w:b w:val="1"/>
          <w:bCs w:val="1"/>
          <w:color w:val="1f2937"/>
          <w:sz w:val="20"/>
          <w:szCs w:val="20"/>
          <w:rtl w:val="0"/>
        </w:rPr>
        <w:t xml:space="preserve">[7] </w:t>
      </w:r>
      <w:r w:rsidDel="00000000" w:rsidR="00000000" w:rsidRPr="00000000">
        <w:rPr>
          <w:rFonts w:ascii="Arial" w:cs="Arial" w:eastAsia="Arial" w:hAnsi="Arial"/>
          <w:b w:val="0"/>
          <w:bCs w:val="0"/>
          <w:color w:val="1f2937"/>
          <w:sz w:val="20"/>
          <w:szCs w:val="20"/>
          <w:rtl w:val="0"/>
        </w:rPr>
        <w:t xml:space="preserve">K. Schwaber y J. Sutherland, "La Guía de Scrum: La Guía Definitiva de Scrum: Las Reglas del Juego," Scrum.org, nov. 2020. [En línea]. Disponible en: https://scrumguides.org/</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0" w:right="0" w:hanging="560"/>
        <w:jc w:val="both"/>
        <w:rPr>
          <w:rFonts w:ascii="Arial" w:cs="Arial" w:eastAsia="Arial" w:hAnsi="Arial"/>
          <w:b w:val="0"/>
          <w:bCs w:val="0"/>
          <w:color w:val="1f2937"/>
          <w:sz w:val="20"/>
          <w:szCs w:val="20"/>
        </w:rPr>
      </w:pPr>
      <w:r w:rsidDel="00000000" w:rsidR="00000000" w:rsidRPr="00000000">
        <w:rPr>
          <w:rFonts w:ascii="Arial" w:cs="Arial" w:eastAsia="Arial" w:hAnsi="Arial"/>
          <w:b w:val="1"/>
          <w:bCs w:val="1"/>
          <w:color w:val="1f2937"/>
          <w:sz w:val="20"/>
          <w:szCs w:val="20"/>
          <w:rtl w:val="0"/>
        </w:rPr>
        <w:t xml:space="preserve">[8] </w:t>
      </w:r>
      <w:r w:rsidDel="00000000" w:rsidR="00000000" w:rsidRPr="00000000">
        <w:rPr>
          <w:rFonts w:ascii="Arial" w:cs="Arial" w:eastAsia="Arial" w:hAnsi="Arial"/>
          <w:b w:val="0"/>
          <w:bCs w:val="0"/>
          <w:color w:val="1f2937"/>
          <w:sz w:val="20"/>
          <w:szCs w:val="20"/>
          <w:rtl w:val="0"/>
        </w:rPr>
        <w:t xml:space="preserve">M. Fowler, "Continuous Integration," martinfowler.com, mayo de 2006. [En línea]. Disponible en: https://martinfowler.com/articles/continuousIntegration.html</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0" w:right="0" w:hanging="560"/>
        <w:jc w:val="both"/>
        <w:rPr>
          <w:rFonts w:ascii="Arial" w:cs="Arial" w:eastAsia="Arial" w:hAnsi="Arial"/>
          <w:b w:val="0"/>
          <w:bCs w:val="0"/>
          <w:color w:val="1f2937"/>
          <w:sz w:val="20"/>
          <w:szCs w:val="20"/>
        </w:rPr>
      </w:pPr>
      <w:r w:rsidDel="00000000" w:rsidR="00000000" w:rsidRPr="00000000">
        <w:rPr>
          <w:rFonts w:ascii="Arial" w:cs="Arial" w:eastAsia="Arial" w:hAnsi="Arial"/>
          <w:b w:val="1"/>
          <w:bCs w:val="1"/>
          <w:color w:val="1f2937"/>
          <w:sz w:val="20"/>
          <w:szCs w:val="20"/>
          <w:rtl w:val="0"/>
        </w:rPr>
        <w:t xml:space="preserve">[9] </w:t>
      </w:r>
      <w:r w:rsidDel="00000000" w:rsidR="00000000" w:rsidRPr="00000000">
        <w:rPr>
          <w:rFonts w:ascii="Arial" w:cs="Arial" w:eastAsia="Arial" w:hAnsi="Arial"/>
          <w:b w:val="0"/>
          <w:bCs w:val="0"/>
          <w:color w:val="1f2937"/>
          <w:sz w:val="20"/>
          <w:szCs w:val="20"/>
          <w:rtl w:val="0"/>
        </w:rPr>
        <w:t xml:space="preserve">GitHub, Inc., "GitHub Actions Documentation: Automate, customize, and execute your software development workflows," Docs.github.com, 2026. [En línea]. Disponible en: https://docs.github.com/en/actions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0" w:right="0" w:hanging="560"/>
        <w:jc w:val="both"/>
        <w:rPr>
          <w:rFonts w:ascii="Arial" w:cs="Arial" w:eastAsia="Arial" w:hAnsi="Arial"/>
          <w:b w:val="0"/>
          <w:bCs w:val="0"/>
          <w:color w:val="1f2937"/>
          <w:sz w:val="20"/>
          <w:szCs w:val="20"/>
        </w:rPr>
      </w:pPr>
      <w:r w:rsidDel="00000000" w:rsidR="00000000" w:rsidRPr="00000000">
        <w:rPr>
          <w:rFonts w:ascii="Arial" w:cs="Arial" w:eastAsia="Arial" w:hAnsi="Arial"/>
          <w:b w:val="1"/>
          <w:bCs w:val="1"/>
          <w:color w:val="1f2937"/>
          <w:sz w:val="20"/>
          <w:szCs w:val="20"/>
          <w:rtl w:val="0"/>
        </w:rPr>
        <w:t xml:space="preserve">[10] </w:t>
      </w:r>
      <w:r w:rsidDel="00000000" w:rsidR="00000000" w:rsidRPr="00000000">
        <w:rPr>
          <w:rFonts w:ascii="Arial" w:cs="Arial" w:eastAsia="Arial" w:hAnsi="Arial"/>
          <w:b w:val="0"/>
          <w:bCs w:val="0"/>
          <w:color w:val="1f2937"/>
          <w:sz w:val="20"/>
          <w:szCs w:val="20"/>
          <w:rtl w:val="0"/>
        </w:rPr>
        <w:t xml:space="preserve">OWASP Foundation, "OWASP Top 10:2025 — The Ten Most Critical Web Application Security Risks," Open Worldwide Application Security Project, 2025. [En línea]. Disponible en: https://owasp.org/Top10/2025/</w:t>
      </w:r>
    </w:p>
    <w:sectPr>
      <w:headerReference r:id="rId6" w:type="default"/>
      <w:footerReference r:id="rId7" w:type="default"/>
      <w:pgSz w:h="15840" w:w="12240" w:orient="portrait"/>
      <w:pgMar w:bottom="1080" w:top="1080" w:left="1320" w:right="1320" w:header="566.9291338582677" w:footer="283.4645669291338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Comforta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tabs>
        <w:tab w:val="center" w:leader="none" w:pos="4680"/>
        <w:tab w:val="right" w:leader="none" w:pos="9360"/>
      </w:tabs>
      <w:spacing w:line="240" w:lineRule="auto"/>
      <w:jc w:val="center"/>
      <w:rPr>
        <w:rFonts w:ascii="Cambria" w:cs="Cambria" w:eastAsia="Cambria" w:hAnsi="Cambria"/>
      </w:rPr>
    </w:pPr>
    <w:r w:rsidDel="00000000" w:rsidR="00000000" w:rsidRPr="00000000">
      <w:rPr>
        <w:rFonts w:ascii="Cambria" w:cs="Cambria" w:eastAsia="Cambria" w:hAnsi="Cambria"/>
        <w:color w:val="646464"/>
        <w:sz w:val="18"/>
        <w:szCs w:val="18"/>
        <w:rtl w:val="0"/>
      </w:rPr>
      <w:t xml:space="preserve">Universidad del Cauca – Departamento de Sistemas</w:t>
      <w:br w:type="textWrapping"/>
      <w:t xml:space="preserve">Ing. Siler Amador</w:t>
      <w:br w:type="textWrapping"/>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tabs>
        <w:tab w:val="center" w:leader="none" w:pos="4680"/>
        <w:tab w:val="right" w:leader="none" w:pos="9360"/>
      </w:tabs>
      <w:spacing w:line="240" w:lineRule="auto"/>
      <w:rPr>
        <w:rFonts w:ascii="Cambria" w:cs="Cambria" w:eastAsia="Cambria" w:hAnsi="Cambria"/>
      </w:rPr>
    </w:pPr>
    <w:r w:rsidDel="00000000" w:rsidR="00000000" w:rsidRPr="00000000">
      <w:rPr>
        <w:rFonts w:ascii="Comfortaa" w:cs="Comfortaa" w:eastAsia="Comfortaa" w:hAnsi="Comfortaa"/>
        <w:color w:val="003b71"/>
        <w:sz w:val="20"/>
        <w:szCs w:val="20"/>
        <w:rtl w:val="0"/>
      </w:rPr>
      <w:t xml:space="preserve">                                                                                                                                          </w:t>
    </w:r>
    <w:r w:rsidDel="00000000" w:rsidR="00000000" w:rsidRPr="00000000">
      <w:rPr>
        <w:rFonts w:ascii="Comfortaa" w:cs="Comfortaa" w:eastAsia="Comfortaa" w:hAnsi="Comfortaa"/>
        <w:color w:val="003b71"/>
        <w:sz w:val="20"/>
        <w:szCs w:val="20"/>
      </w:rPr>
      <w:drawing>
        <wp:inline distB="114300" distT="114300" distL="114300" distR="114300">
          <wp:extent cx="787400" cy="5461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7400" cy="546100"/>
                  </a:xfrm>
                  <a:prstGeom prst="rect"/>
                  <a:ln/>
                </pic:spPr>
              </pic:pic>
            </a:graphicData>
          </a:graphic>
        </wp:inline>
      </w:drawing>
    </w:r>
    <w:r w:rsidDel="00000000" w:rsidR="00000000" w:rsidRPr="00000000">
      <w:rPr>
        <w:rFonts w:ascii="Comfortaa" w:cs="Comfortaa" w:eastAsia="Comfortaa" w:hAnsi="Comfortaa"/>
        <w:color w:val="003b71"/>
        <w:sz w:val="20"/>
        <w:szCs w:val="20"/>
        <w:rtl w:val="0"/>
      </w:rPr>
      <w:t xml:space="preserve"> </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