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Employee Onboarding Handbook</w:t>
      </w:r>
    </w:p>
    <w:p>
      <w:r>
        <w:t>Mock internal document for RAG, ACL, citation, and parser testing.</w:t>
      </w:r>
    </w:p>
    <w:p>
      <w:pPr>
        <w:pStyle w:val="Heading1"/>
      </w:pPr>
      <w:r>
        <w:t>Document Metadata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Value</w:t>
            </w:r>
          </w:p>
        </w:tc>
      </w:tr>
      <w:tr>
        <w:tc>
          <w:tcPr>
            <w:tcW w:type="dxa" w:w="5112"/>
            <w:vAlign w:val="top"/>
          </w:tcPr>
          <w:p>
            <w:r>
              <w:t>doc_id</w:t>
            </w:r>
          </w:p>
        </w:tc>
        <w:tc>
          <w:tcPr>
            <w:tcW w:type="dxa" w:w="5112"/>
            <w:vAlign w:val="top"/>
          </w:tcPr>
          <w:p>
            <w:r>
              <w:t>HR-HDB-003</w:t>
            </w:r>
          </w:p>
        </w:tc>
      </w:tr>
      <w:tr>
        <w:tc>
          <w:tcPr>
            <w:tcW w:type="dxa" w:w="5112"/>
            <w:vAlign w:val="top"/>
          </w:tcPr>
          <w:p>
            <w:r>
              <w:t>department</w:t>
            </w:r>
          </w:p>
        </w:tc>
        <w:tc>
          <w:tcPr>
            <w:tcW w:type="dxa" w:w="5112"/>
            <w:vAlign w:val="top"/>
          </w:tcPr>
          <w:p>
            <w:r>
              <w:t>HR</w:t>
            </w:r>
          </w:p>
        </w:tc>
      </w:tr>
      <w:tr>
        <w:tc>
          <w:tcPr>
            <w:tcW w:type="dxa" w:w="5112"/>
            <w:vAlign w:val="top"/>
          </w:tcPr>
          <w:p>
            <w:r>
              <w:t>sensitivity</w:t>
            </w:r>
          </w:p>
        </w:tc>
        <w:tc>
          <w:tcPr>
            <w:tcW w:type="dxa" w:w="5112"/>
            <w:vAlign w:val="top"/>
          </w:tcPr>
          <w:p>
            <w:r>
              <w:t>internal</w:t>
            </w:r>
          </w:p>
        </w:tc>
      </w:tr>
      <w:tr>
        <w:tc>
          <w:tcPr>
            <w:tcW w:type="dxa" w:w="5112"/>
            <w:vAlign w:val="top"/>
          </w:tcPr>
          <w:p>
            <w:r>
              <w:t>allowed_groups</w:t>
            </w:r>
          </w:p>
        </w:tc>
        <w:tc>
          <w:tcPr>
            <w:tcW w:type="dxa" w:w="5112"/>
            <w:vAlign w:val="top"/>
          </w:tcPr>
          <w:p>
            <w:r>
              <w:t>all-employees</w:t>
            </w:r>
          </w:p>
        </w:tc>
      </w:tr>
      <w:tr>
        <w:tc>
          <w:tcPr>
            <w:tcW w:type="dxa" w:w="5112"/>
            <w:vAlign w:val="top"/>
          </w:tcPr>
          <w:p>
            <w:r>
              <w:t>tenant_id</w:t>
            </w:r>
          </w:p>
        </w:tc>
        <w:tc>
          <w:tcPr>
            <w:tcW w:type="dxa" w:w="5112"/>
            <w:vAlign w:val="top"/>
          </w:tcPr>
          <w:p>
            <w:r>
              <w:t>northstar</w:t>
            </w:r>
          </w:p>
        </w:tc>
      </w:tr>
      <w:tr>
        <w:tc>
          <w:tcPr>
            <w:tcW w:type="dxa" w:w="5112"/>
            <w:vAlign w:val="top"/>
          </w:tcPr>
          <w:p>
            <w:r>
              <w:t>effective_date</w:t>
            </w:r>
          </w:p>
        </w:tc>
        <w:tc>
          <w:tcPr>
            <w:tcW w:type="dxa" w:w="5112"/>
            <w:vAlign w:val="top"/>
          </w:tcPr>
          <w:p>
            <w:r>
              <w:t>2026-01-15</w:t>
            </w:r>
          </w:p>
        </w:tc>
      </w:tr>
      <w:tr>
        <w:tc>
          <w:tcPr>
            <w:tcW w:type="dxa" w:w="5112"/>
            <w:vAlign w:val="top"/>
          </w:tcPr>
          <w:p>
            <w:r>
              <w:t>owner</w:t>
            </w:r>
          </w:p>
        </w:tc>
        <w:tc>
          <w:tcPr>
            <w:tcW w:type="dxa" w:w="5112"/>
            <w:vAlign w:val="top"/>
          </w:tcPr>
          <w:p>
            <w:r>
              <w:t>People Operations</w:t>
            </w:r>
          </w:p>
        </w:tc>
      </w:tr>
      <w:tr>
        <w:tc>
          <w:tcPr>
            <w:tcW w:type="dxa" w:w="5112"/>
            <w:vAlign w:val="top"/>
          </w:tcPr>
          <w:p>
            <w:r>
              <w:t>stale</w:t>
            </w:r>
          </w:p>
        </w:tc>
        <w:tc>
          <w:tcPr>
            <w:tcW w:type="dxa" w:w="5112"/>
            <w:vAlign w:val="top"/>
          </w:tcPr>
          <w:p>
            <w:r>
              <w:t>false</w:t>
            </w:r>
          </w:p>
        </w:tc>
      </w:tr>
    </w:tbl>
    <w:p>
      <w:pPr>
        <w:pStyle w:val="Heading1"/>
      </w:pPr>
      <w:r>
        <w:t>First Week Checklist</w:t>
      </w:r>
    </w:p>
    <w:p>
      <w:pPr>
        <w:pStyle w:val="ListBullet"/>
      </w:pPr>
      <w:r>
        <w:rPr>
          <w:b/>
        </w:rPr>
        <w:t>Day 1:</w:t>
      </w:r>
      <w:r>
        <w:t xml:space="preserve"> Sign employment documents, confirm payroll details, and activate SSO.</w:t>
      </w:r>
    </w:p>
    <w:p>
      <w:pPr>
        <w:pStyle w:val="ListBullet"/>
      </w:pPr>
      <w:r>
        <w:rPr>
          <w:b/>
        </w:rPr>
        <w:t>Day 2:</w:t>
      </w:r>
      <w:r>
        <w:t xml:space="preserve"> Complete security awareness training and device setup.</w:t>
      </w:r>
    </w:p>
    <w:p>
      <w:pPr>
        <w:pStyle w:val="ListBullet"/>
      </w:pPr>
      <w:r>
        <w:rPr>
          <w:b/>
        </w:rPr>
        <w:t>Day 3:</w:t>
      </w:r>
      <w:r>
        <w:t xml:space="preserve"> Meet your team buddy and review team operating norms.</w:t>
      </w:r>
    </w:p>
    <w:p>
      <w:pPr>
        <w:pStyle w:val="ListBullet"/>
      </w:pPr>
      <w:r>
        <w:rPr>
          <w:b/>
        </w:rPr>
        <w:t>Day 5:</w:t>
      </w:r>
      <w:r>
        <w:t xml:space="preserve"> Confirm access to Slack, email, GitHub, HR portal, and required knowledge bases.</w:t>
      </w:r>
    </w:p>
    <w:p>
      <w:pPr>
        <w:pStyle w:val="Heading1"/>
      </w:pPr>
      <w:r>
        <w:t>Training Requirements</w:t>
      </w:r>
    </w:p>
    <w:p>
      <w:r>
        <w:t>All new hires must complete security awareness training within five business days. Engineers must complete secure coding training within ten business days. Managers must complete people-lead onboarding within thirty days.</w:t>
      </w:r>
    </w:p>
    <w:p>
      <w:pPr>
        <w:pStyle w:val="Heading1"/>
      </w:pPr>
      <w:r>
        <w:t>Equipment</w:t>
      </w:r>
    </w:p>
    <w:p>
      <w:r>
        <w:t>IT ships laptops before the start date when shipping details are confirmed at least seven business days in advance. Lost or damaged devices must be reported to IT within one business day.</w:t>
      </w:r>
    </w:p>
    <w:p>
      <w:pPr>
        <w:pStyle w:val="Heading1"/>
      </w:pPr>
      <w:r>
        <w:t>Access Requests</w:t>
      </w:r>
    </w:p>
    <w:p>
      <w:r>
        <w:t>Access requests should go through the Access Portal. Managers approve role-based access, and system owners approve privileged access.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Digital - Mock data - 2026-07-02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