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Remote Work Policy 2026</w:t>
      </w:r>
    </w:p>
    <w:p>
      <w:r>
        <w:t>Mock internal document for RAG, ACL, citation, and parser testing.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doc_id</w:t>
            </w:r>
          </w:p>
        </w:tc>
        <w:tc>
          <w:tcPr>
            <w:tcW w:type="dxa" w:w="5112"/>
            <w:vAlign w:val="top"/>
          </w:tcPr>
          <w:p>
            <w:r>
              <w:t>HR-POL-REMOTE-2026</w:t>
            </w:r>
          </w:p>
        </w:tc>
      </w:tr>
      <w:tr>
        <w:tc>
          <w:tcPr>
            <w:tcW w:type="dxa" w:w="5112"/>
            <w:vAlign w:val="top"/>
          </w:tcPr>
          <w:p>
            <w:r>
              <w:t>department</w:t>
            </w:r>
          </w:p>
        </w:tc>
        <w:tc>
          <w:tcPr>
            <w:tcW w:type="dxa" w:w="5112"/>
            <w:vAlign w:val="top"/>
          </w:tcPr>
          <w:p>
            <w:r>
              <w:t>HR</w:t>
            </w:r>
          </w:p>
        </w:tc>
      </w:tr>
      <w:tr>
        <w:tc>
          <w:tcPr>
            <w:tcW w:type="dxa" w:w="5112"/>
            <w:vAlign w:val="top"/>
          </w:tcPr>
          <w:p>
            <w:r>
              <w:t>sensitivity</w:t>
            </w:r>
          </w:p>
        </w:tc>
        <w:tc>
          <w:tcPr>
            <w:tcW w:type="dxa" w:w="5112"/>
            <w:vAlign w:val="top"/>
          </w:tcPr>
          <w:p>
            <w:r>
              <w:t>internal</w:t>
            </w:r>
          </w:p>
        </w:tc>
      </w:tr>
      <w:tr>
        <w:tc>
          <w:tcPr>
            <w:tcW w:type="dxa" w:w="5112"/>
            <w:vAlign w:val="top"/>
          </w:tcPr>
          <w:p>
            <w:r>
              <w:t>allowed_groups</w:t>
            </w:r>
          </w:p>
        </w:tc>
        <w:tc>
          <w:tcPr>
            <w:tcW w:type="dxa" w:w="5112"/>
            <w:vAlign w:val="top"/>
          </w:tcPr>
          <w:p>
            <w:r>
              <w:t>all-employees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tenant_id</w:t>
            </w:r>
          </w:p>
        </w:tc>
        <w:tc>
          <w:tcPr>
            <w:tcW w:type="dxa" w:w="5112"/>
            <w:vAlign w:val="top"/>
          </w:tcPr>
          <w:p>
            <w:r>
              <w:t>northstar</w:t>
            </w:r>
          </w:p>
        </w:tc>
      </w:tr>
      <w:tr>
        <w:tc>
          <w:tcPr>
            <w:tcW w:type="dxa" w:w="5112"/>
            <w:vAlign w:val="top"/>
          </w:tcPr>
          <w:p>
            <w:r>
              <w:t>effective_date</w:t>
            </w:r>
          </w:p>
        </w:tc>
        <w:tc>
          <w:tcPr>
            <w:tcW w:type="dxa" w:w="5112"/>
            <w:vAlign w:val="top"/>
          </w:tcPr>
          <w:p>
            <w:r>
              <w:t>2026-06-01</w:t>
            </w:r>
          </w:p>
        </w:tc>
      </w:tr>
      <w:tr>
        <w:tc>
          <w:tcPr>
            <w:tcW w:type="dxa" w:w="5112"/>
            <w:vAlign w:val="top"/>
          </w:tcPr>
          <w:p>
            <w:r>
              <w:t>owner</w:t>
            </w:r>
          </w:p>
        </w:tc>
        <w:tc>
          <w:tcPr>
            <w:tcW w:type="dxa" w:w="5112"/>
            <w:vAlign w:val="top"/>
          </w:tcPr>
          <w:p>
            <w:r>
              <w:t>People Operations</w:t>
            </w:r>
          </w:p>
        </w:tc>
      </w:tr>
      <w:tr>
        <w:tc>
          <w:tcPr>
            <w:tcW w:type="dxa" w:w="5112"/>
            <w:vAlign w:val="top"/>
          </w:tcPr>
          <w:p>
            <w:r>
              <w:t>stale</w:t>
            </w:r>
          </w:p>
        </w:tc>
        <w:tc>
          <w:tcPr>
            <w:tcW w:type="dxa" w:w="5112"/>
            <w:vAlign w:val="top"/>
          </w:tcPr>
          <w:p>
            <w:r>
              <w:t>false</w:t>
            </w:r>
          </w:p>
        </w:tc>
      </w:tr>
    </w:tbl>
    <w:p>
      <w:pPr>
        <w:pStyle w:val="Heading1"/>
      </w:pPr>
      <w:r>
        <w:t>Policy Summary</w:t>
      </w:r>
    </w:p>
    <w:p>
      <w:r>
        <w:t>Eligible employees may work remotely up to three days per week. Managers may define team collaboration days when project needs require in-person coordination.</w:t>
      </w:r>
    </w:p>
    <w:p>
      <w:pPr>
        <w:pStyle w:val="Heading1"/>
      </w:pPr>
      <w:r>
        <w:t>International Remote Work</w:t>
      </w:r>
    </w:p>
    <w:p>
      <w:r>
        <w:t>International remote work for more than twenty business days in a calendar year requires approval from HR, Legal, and the employee’s manager before travel begins.</w:t>
      </w:r>
    </w:p>
    <w:p>
      <w:pPr>
        <w:pStyle w:val="Heading1"/>
      </w:pPr>
      <w:r>
        <w:t>Core Hours</w:t>
      </w:r>
    </w:p>
    <w:p>
      <w:r>
        <w:t>Employees working remotely must be reachable during core collaboration hours from 10:00 to 15:00 in their assigned office time zone unless a manager approves a different schedule.</w:t>
      </w:r>
    </w:p>
    <w:p>
      <w:pPr>
        <w:pStyle w:val="Heading1"/>
      </w:pPr>
      <w:r>
        <w:t>Home Office Expenses</w:t>
      </w:r>
    </w:p>
    <w:p>
      <w:r>
        <w:t>Northstar provides a one-time USD 350 home office stipend for eligible full-time employees. Internet service is reimbursed only for employees in roles formally classified as fully remote.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Northstar Digital - Mock data - 2026-07-02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