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Legal Contract Review Playbook - Restricted</w:t>
      </w:r>
    </w:p>
    <w:p>
      <w:r>
        <w:t>Mock internal document for RAG, ACL, citation, and parser testing.</w:t>
      </w:r>
    </w:p>
    <w:p>
      <w:pPr>
        <w:pStyle w:val="Heading1"/>
      </w:pPr>
      <w:r>
        <w:t>Document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doc_id</w:t>
            </w:r>
          </w:p>
        </w:tc>
        <w:tc>
          <w:tcPr>
            <w:tcW w:type="dxa" w:w="5112"/>
            <w:vAlign w:val="top"/>
          </w:tcPr>
          <w:p>
            <w:r>
              <w:t>LEGAL-PLAY-006</w:t>
            </w:r>
          </w:p>
        </w:tc>
      </w:tr>
      <w:tr>
        <w:tc>
          <w:tcPr>
            <w:tcW w:type="dxa" w:w="5112"/>
            <w:vAlign w:val="top"/>
          </w:tcPr>
          <w:p>
            <w:r>
              <w:t>department</w:t>
            </w:r>
          </w:p>
        </w:tc>
        <w:tc>
          <w:tcPr>
            <w:tcW w:type="dxa" w:w="5112"/>
            <w:vAlign w:val="top"/>
          </w:tcPr>
          <w:p>
            <w:r>
              <w:t>Legal</w:t>
            </w:r>
          </w:p>
        </w:tc>
      </w:tr>
      <w:tr>
        <w:tc>
          <w:tcPr>
            <w:tcW w:type="dxa" w:w="5112"/>
            <w:vAlign w:val="top"/>
          </w:tcPr>
          <w:p>
            <w:r>
              <w:t>sensitivity</w:t>
            </w:r>
          </w:p>
        </w:tc>
        <w:tc>
          <w:tcPr>
            <w:tcW w:type="dxa" w:w="5112"/>
            <w:vAlign w:val="top"/>
          </w:tcPr>
          <w:p>
            <w:r>
              <w:t>restricted</w:t>
            </w:r>
          </w:p>
        </w:tc>
      </w:tr>
      <w:tr>
        <w:tc>
          <w:tcPr>
            <w:tcW w:type="dxa" w:w="5112"/>
            <w:vAlign w:val="top"/>
          </w:tcPr>
          <w:p>
            <w:r>
              <w:t>allowed_groups</w:t>
            </w:r>
          </w:p>
        </w:tc>
        <w:tc>
          <w:tcPr>
            <w:tcW w:type="dxa" w:w="5112"/>
            <w:vAlign w:val="top"/>
          </w:tcPr>
          <w:p>
            <w:r>
              <w:t>legal, finance-leads, executives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tenant_id</w:t>
            </w:r>
          </w:p>
        </w:tc>
        <w:tc>
          <w:tcPr>
            <w:tcW w:type="dxa" w:w="5112"/>
            <w:vAlign w:val="top"/>
          </w:tcPr>
          <w:p>
            <w:r>
              <w:t>northstar</w:t>
            </w:r>
          </w:p>
        </w:tc>
      </w:tr>
      <w:tr>
        <w:tc>
          <w:tcPr>
            <w:tcW w:type="dxa" w:w="5112"/>
            <w:vAlign w:val="top"/>
          </w:tcPr>
          <w:p>
            <w:r>
              <w:t>effective_date</w:t>
            </w:r>
          </w:p>
        </w:tc>
        <w:tc>
          <w:tcPr>
            <w:tcW w:type="dxa" w:w="5112"/>
            <w:vAlign w:val="top"/>
          </w:tcPr>
          <w:p>
            <w:r>
              <w:t>2026-05-01</w:t>
            </w:r>
          </w:p>
        </w:tc>
      </w:tr>
      <w:tr>
        <w:tc>
          <w:tcPr>
            <w:tcW w:type="dxa" w:w="5112"/>
            <w:vAlign w:val="top"/>
          </w:tcPr>
          <w:p>
            <w:r>
              <w:t>owner</w:t>
            </w:r>
          </w:p>
        </w:tc>
        <w:tc>
          <w:tcPr>
            <w:tcW w:type="dxa" w:w="5112"/>
            <w:vAlign w:val="top"/>
          </w:tcPr>
          <w:p>
            <w:r>
              <w:t>Legal Operations</w:t>
            </w:r>
          </w:p>
        </w:tc>
      </w:tr>
      <w:tr>
        <w:tc>
          <w:tcPr>
            <w:tcW w:type="dxa" w:w="5112"/>
            <w:vAlign w:val="top"/>
          </w:tcPr>
          <w:p>
            <w:r>
              <w:t>stale</w:t>
            </w:r>
          </w:p>
        </w:tc>
        <w:tc>
          <w:tcPr>
            <w:tcW w:type="dxa" w:w="5112"/>
            <w:vAlign w:val="top"/>
          </w:tcPr>
          <w:p>
            <w:r>
              <w:t>false</w:t>
            </w:r>
          </w:p>
        </w:tc>
      </w:tr>
    </w:tbl>
    <w:p>
      <w:pPr>
        <w:pStyle w:val="Heading1"/>
      </w:pPr>
      <w:r>
        <w:t>When Legal Review Is Required</w:t>
      </w:r>
    </w:p>
    <w:p>
      <w:pPr>
        <w:pStyle w:val="ListBullet"/>
      </w:pPr>
      <w:r>
        <w:rPr>
          <w:b/>
        </w:rPr>
        <w:t>NDA:</w:t>
      </w:r>
      <w:r>
        <w:t xml:space="preserve"> Legal review is required when the counterparty changes confidentiality duration, residual knowledge clauses, or data processing language.</w:t>
      </w:r>
    </w:p>
    <w:p>
      <w:pPr>
        <w:pStyle w:val="ListBullet"/>
      </w:pPr>
      <w:r>
        <w:rPr>
          <w:b/>
        </w:rPr>
        <w:t>MSA:</w:t>
      </w:r>
      <w:r>
        <w:t xml:space="preserve"> Any master services agreement above USD 100,000 annual contract value requires Legal approval.</w:t>
      </w:r>
    </w:p>
    <w:p>
      <w:pPr>
        <w:pStyle w:val="ListBullet"/>
      </w:pPr>
      <w:r>
        <w:rPr>
          <w:b/>
        </w:rPr>
        <w:t>DPA:</w:t>
      </w:r>
      <w:r>
        <w:t xml:space="preserve"> Any data processing agreement involving subprocessors or cross-border transfer language requires Privacy review.</w:t>
      </w:r>
    </w:p>
    <w:p>
      <w:pPr>
        <w:pStyle w:val="Heading1"/>
      </w:pPr>
      <w:r>
        <w:t>Turnaround Targets</w:t>
      </w:r>
    </w:p>
    <w:p>
      <w:r>
        <w:t>Standard NDA review target is two business days. MSA review target is five business days. Non-standard liability, indemnity, or data transfer clauses may extend the target.</w:t>
      </w:r>
    </w:p>
    <w:p>
      <w:pPr>
        <w:pStyle w:val="Heading1"/>
      </w:pPr>
      <w:r>
        <w:t>Escalation</w:t>
      </w:r>
    </w:p>
    <w:p>
      <w:r>
        <w:t>Sales or procurement teams should escalate blocked deals through the Legal Intake queue, not direct messages. Urgent executive escalations require a named deal owner and decision deadline.</w:t>
      </w:r>
    </w:p>
    <w:p>
      <w:pPr>
        <w:pStyle w:val="Heading1"/>
      </w:pPr>
      <w:r>
        <w:t>Restricted Access Note</w:t>
      </w:r>
    </w:p>
    <w:p>
      <w:r>
        <w:t>This document is intentionally restricted. General employees should not see its contents during retrieval or source citation.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Northstar Digital - Mock data - 2026-07-02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