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Customer Data Handling Standard</w:t>
      </w:r>
    </w:p>
    <w:p>
      <w:r>
        <w:t>Mock internal document for RAG, ACL, citation, and parser testing.</w:t>
      </w:r>
    </w:p>
    <w:p>
      <w:pPr>
        <w:pStyle w:val="Heading1"/>
      </w:pPr>
      <w:r>
        <w:t>Document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12"/>
            <w:vAlign w:val="top"/>
          </w:tcPr>
          <w:p>
            <w:r>
              <w:t>doc_id</w:t>
            </w:r>
          </w:p>
        </w:tc>
        <w:tc>
          <w:tcPr>
            <w:tcW w:type="dxa" w:w="5112"/>
            <w:vAlign w:val="top"/>
          </w:tcPr>
          <w:p>
            <w:r>
              <w:t>SEC-DATA-011</w:t>
            </w:r>
          </w:p>
        </w:tc>
      </w:tr>
      <w:tr>
        <w:tc>
          <w:tcPr>
            <w:tcW w:type="dxa" w:w="5112"/>
            <w:vAlign w:val="top"/>
          </w:tcPr>
          <w:p>
            <w:r>
              <w:t>department</w:t>
            </w:r>
          </w:p>
        </w:tc>
        <w:tc>
          <w:tcPr>
            <w:tcW w:type="dxa" w:w="5112"/>
            <w:vAlign w:val="top"/>
          </w:tcPr>
          <w:p>
            <w:r>
              <w:t>Security</w:t>
            </w:r>
          </w:p>
        </w:tc>
      </w:tr>
      <w:tr>
        <w:tc>
          <w:tcPr>
            <w:tcW w:type="dxa" w:w="5112"/>
            <w:vAlign w:val="top"/>
          </w:tcPr>
          <w:p>
            <w:r>
              <w:t>sensitivity</w:t>
            </w:r>
          </w:p>
        </w:tc>
        <w:tc>
          <w:tcPr>
            <w:tcW w:type="dxa" w:w="5112"/>
            <w:vAlign w:val="top"/>
          </w:tcPr>
          <w:p>
            <w:r>
              <w:t>confidential</w:t>
            </w:r>
          </w:p>
        </w:tc>
      </w:tr>
      <w:tr>
        <w:tc>
          <w:tcPr>
            <w:tcW w:type="dxa" w:w="5112"/>
            <w:vAlign w:val="top"/>
          </w:tcPr>
          <w:p>
            <w:r>
              <w:t>allowed_groups</w:t>
            </w:r>
          </w:p>
        </w:tc>
        <w:tc>
          <w:tcPr>
            <w:tcW w:type="dxa" w:w="5112"/>
            <w:vAlign w:val="top"/>
          </w:tcPr>
          <w:p>
            <w:r>
              <w:t>security, engineering, support-leads</w:t>
            </w:r>
          </w:p>
        </w:tc>
      </w:tr>
      <w:tr>
        <w:tc>
          <w:tcPr>
            <w:tcW w:type="dxa" w:w="5112"/>
            <w:vAlign w:val="top"/>
          </w:tcPr>
          <w:p>
            <w:r>
              <w:t>tenant_id</w:t>
            </w:r>
          </w:p>
        </w:tc>
        <w:tc>
          <w:tcPr>
            <w:tcW w:type="dxa" w:w="5112"/>
            <w:vAlign w:val="top"/>
          </w:tcPr>
          <w:p>
            <w:r>
              <w:t>northstar</w:t>
            </w:r>
          </w:p>
        </w:tc>
      </w:tr>
      <w:tr>
        <w:tc>
          <w:tcPr>
            <w:tcW w:type="dxa" w:w="5112"/>
            <w:vAlign w:val="top"/>
          </w:tcPr>
          <w:p>
            <w:r>
              <w:t>effective_date</w:t>
            </w:r>
          </w:p>
        </w:tc>
        <w:tc>
          <w:tcPr>
            <w:tcW w:type="dxa" w:w="5112"/>
            <w:vAlign w:val="top"/>
          </w:tcPr>
          <w:p>
            <w:r>
              <w:t>2026-02-01</w:t>
            </w:r>
          </w:p>
        </w:tc>
      </w:tr>
      <w:tr>
        <w:tc>
          <w:tcPr>
            <w:tcW w:type="dxa" w:w="5112"/>
            <w:vAlign w:val="top"/>
          </w:tcPr>
          <w:p>
            <w:r>
              <w:t>owner</w:t>
            </w:r>
          </w:p>
        </w:tc>
        <w:tc>
          <w:tcPr>
            <w:tcW w:type="dxa" w:w="5112"/>
            <w:vAlign w:val="top"/>
          </w:tcPr>
          <w:p>
            <w:r>
              <w:t>Data Protection Office</w:t>
            </w:r>
          </w:p>
        </w:tc>
      </w:tr>
      <w:tr>
        <w:tc>
          <w:tcPr>
            <w:tcW w:type="dxa" w:w="5112"/>
            <w:vAlign w:val="top"/>
          </w:tcPr>
          <w:p>
            <w:r>
              <w:t>stale</w:t>
            </w:r>
          </w:p>
        </w:tc>
        <w:tc>
          <w:tcPr>
            <w:tcW w:type="dxa" w:w="5112"/>
            <w:vAlign w:val="top"/>
          </w:tcPr>
          <w:p>
            <w:r>
              <w:t>false</w:t>
            </w:r>
          </w:p>
        </w:tc>
      </w:tr>
    </w:tbl>
    <w:p>
      <w:pPr>
        <w:pStyle w:val="Heading1"/>
      </w:pPr>
      <w:r>
        <w:t>Data Classes</w:t>
      </w:r>
    </w:p>
    <w:p>
      <w:pPr>
        <w:pStyle w:val="ListBullet"/>
      </w:pPr>
      <w:r>
        <w:rPr>
          <w:b/>
        </w:rPr>
        <w:t>Public:</w:t>
      </w:r>
      <w:r>
        <w:t xml:space="preserve"> Approved marketing or documentation content.</w:t>
      </w:r>
    </w:p>
    <w:p>
      <w:pPr>
        <w:pStyle w:val="ListBullet"/>
      </w:pPr>
      <w:r>
        <w:rPr>
          <w:b/>
        </w:rPr>
        <w:t>Internal:</w:t>
      </w:r>
      <w:r>
        <w:t xml:space="preserve"> Company operating information not intended for customers.</w:t>
      </w:r>
    </w:p>
    <w:p>
      <w:pPr>
        <w:pStyle w:val="ListBullet"/>
      </w:pPr>
      <w:r>
        <w:rPr>
          <w:b/>
        </w:rPr>
        <w:t>Confidential:</w:t>
      </w:r>
      <w:r>
        <w:t xml:space="preserve"> Customer data, employee records, security details, and financial information.</w:t>
      </w:r>
    </w:p>
    <w:p>
      <w:pPr>
        <w:pStyle w:val="ListBullet"/>
      </w:pPr>
      <w:r>
        <w:rPr>
          <w:b/>
        </w:rPr>
        <w:t>Restricted:</w:t>
      </w:r>
      <w:r>
        <w:t xml:space="preserve"> Secrets, credentials, regulated data, legal hold material, and executive compensation data.</w:t>
      </w:r>
    </w:p>
    <w:p>
      <w:pPr>
        <w:pStyle w:val="Heading1"/>
      </w:pPr>
      <w:r>
        <w:t>Handling Rules</w:t>
      </w:r>
    </w:p>
    <w:p>
      <w:r>
        <w:t>Customer personal data must be encrypted at rest and in transit. Logs must not contain raw passwords, API keys, access tokens, full payment card numbers, or unnecessary personal data.</w:t>
      </w:r>
    </w:p>
    <w:p>
      <w:pPr>
        <w:pStyle w:val="Heading1"/>
      </w:pPr>
      <w:r>
        <w:t>Retention</w:t>
      </w:r>
    </w:p>
    <w:p>
      <w:r>
        <w:t>Support case attachments containing customer data should be deleted or archived after 180 days unless a contractual or legal hold requires longer retention.</w:t>
      </w:r>
    </w:p>
    <w:p>
      <w:pPr>
        <w:pStyle w:val="Heading1"/>
      </w:pPr>
      <w:r>
        <w:t>Access Reviews</w:t>
      </w:r>
    </w:p>
    <w:p>
      <w:r>
        <w:t>Privileged access to production customer data must be reviewed every quarter. Temporary break-glass access expires after eight hours unless Security approves an extension.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Northstar Digital - Mock data - 2026-07-02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