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A770" w14:textId="77777777" w:rsidR="00277D52" w:rsidRPr="00277D52" w:rsidRDefault="00277D52" w:rsidP="00277D52">
      <w:pPr>
        <w:rPr>
          <w:rFonts w:ascii="Arial" w:hAnsi="Arial" w:cs="Arial"/>
          <w:sz w:val="24"/>
          <w:szCs w:val="24"/>
        </w:rPr>
      </w:pPr>
      <w:r w:rsidRPr="00277D52">
        <w:rPr>
          <w:rFonts w:ascii="Arial" w:hAnsi="Arial" w:cs="Arial"/>
          <w:sz w:val="24"/>
          <w:szCs w:val="24"/>
        </w:rPr>
        <w:t>CONSTRUCCIÓN DE LA BASE DE DATOS CENSAL Y ESPACIAL</w:t>
      </w:r>
    </w:p>
    <w:p w14:paraId="315228D0" w14:textId="77777777" w:rsidR="00277D52" w:rsidRPr="00277D52" w:rsidRDefault="00277D52" w:rsidP="00277D52">
      <w:pPr>
        <w:rPr>
          <w:rFonts w:ascii="Arial" w:hAnsi="Arial" w:cs="Arial"/>
          <w:sz w:val="24"/>
          <w:szCs w:val="24"/>
        </w:rPr>
      </w:pPr>
      <w:r w:rsidRPr="00277D52">
        <w:rPr>
          <w:rFonts w:ascii="Arial" w:hAnsi="Arial" w:cs="Arial"/>
          <w:i/>
          <w:iCs/>
          <w:sz w:val="24"/>
          <w:szCs w:val="24"/>
        </w:rPr>
        <w:t>(Objetivo Específico 1)</w:t>
      </w:r>
    </w:p>
    <w:p w14:paraId="37F48516"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5EFB0AC3">
          <v:rect id="_x0000_i1025" style="width:0;height:1.5pt" o:hralign="center" o:hrstd="t" o:hr="t" fillcolor="#a0a0a0" stroked="f"/>
        </w:pict>
      </w:r>
    </w:p>
    <w:p w14:paraId="3AA27F73" w14:textId="77777777" w:rsidR="00277D52" w:rsidRPr="00277D52" w:rsidRDefault="00277D52" w:rsidP="00277D52">
      <w:pPr>
        <w:rPr>
          <w:rFonts w:ascii="Arial" w:hAnsi="Arial" w:cs="Arial"/>
          <w:sz w:val="24"/>
          <w:szCs w:val="24"/>
        </w:rPr>
      </w:pPr>
      <w:r w:rsidRPr="00277D52">
        <w:rPr>
          <w:rFonts w:ascii="Arial" w:hAnsi="Arial" w:cs="Arial"/>
          <w:sz w:val="24"/>
          <w:szCs w:val="24"/>
        </w:rPr>
        <w:t>2.1 Introducción</w:t>
      </w:r>
    </w:p>
    <w:p w14:paraId="07002C2F" w14:textId="77777777" w:rsidR="00277D52" w:rsidRPr="00277D52" w:rsidRDefault="00277D52" w:rsidP="00277D52">
      <w:pPr>
        <w:rPr>
          <w:rFonts w:ascii="Arial" w:hAnsi="Arial" w:cs="Arial"/>
          <w:sz w:val="24"/>
          <w:szCs w:val="24"/>
        </w:rPr>
      </w:pPr>
      <w:r w:rsidRPr="00277D52">
        <w:rPr>
          <w:rFonts w:ascii="Arial" w:hAnsi="Arial" w:cs="Arial"/>
          <w:sz w:val="24"/>
          <w:szCs w:val="24"/>
        </w:rPr>
        <w:t>El análisis de las desigualdades socioeconómicas en contextos urbanos exige la construcción de una base de datos que permita capturar la complejidad de las condiciones de vida de la población desde una perspectiva territorial. En este sentido, la presente fase del proyecto se orienta a consolidar un sistema de información que integre microdatos censales con unidades espaciales, posibilitando un análisis detallado a escala intraurbana. Esta aproximación resulta fundamental, ya que los fenómenos sociales presentan patrones de dependencia espacial, donde las unidades geográficas cercanas tienden a compartir características similares, tal como lo plantea la primera ley de la geografía [6].</w:t>
      </w:r>
    </w:p>
    <w:p w14:paraId="2CABAC8A" w14:textId="77777777" w:rsidR="00277D52" w:rsidRPr="00277D52" w:rsidRDefault="00277D52" w:rsidP="00277D52">
      <w:pPr>
        <w:rPr>
          <w:rFonts w:ascii="Arial" w:hAnsi="Arial" w:cs="Arial"/>
          <w:sz w:val="24"/>
          <w:szCs w:val="24"/>
        </w:rPr>
      </w:pPr>
      <w:r w:rsidRPr="00277D52">
        <w:rPr>
          <w:rFonts w:ascii="Arial" w:hAnsi="Arial" w:cs="Arial"/>
          <w:sz w:val="24"/>
          <w:szCs w:val="24"/>
        </w:rPr>
        <w:t>A diferencia de los enfoques tradicionales basados en datos agregados, la utilización de microdatos permite observar la heterogeneidad de las condiciones socioeconómicas dentro de las ciudades. Esta desagregación resulta fundamental para identificar patrones espaciales de desigualdad que, de otra forma, permanecerían ocultos. En contextos urbanos, estas dinámicas se relacionan estrechamente con procesos de segregación residencial, los cuales han sido ampliamente documentados en la literatura [7], y que en América Latina adquieren características particulares asociadas a la estructura social y urbana de la región [8].</w:t>
      </w:r>
    </w:p>
    <w:p w14:paraId="5106FD14" w14:textId="77777777" w:rsidR="00277D52" w:rsidRPr="00277D52" w:rsidRDefault="00277D52" w:rsidP="00277D52">
      <w:pPr>
        <w:rPr>
          <w:rFonts w:ascii="Arial" w:hAnsi="Arial" w:cs="Arial"/>
          <w:sz w:val="24"/>
          <w:szCs w:val="24"/>
        </w:rPr>
      </w:pPr>
      <w:r w:rsidRPr="00277D52">
        <w:rPr>
          <w:rFonts w:ascii="Arial" w:hAnsi="Arial" w:cs="Arial"/>
          <w:sz w:val="24"/>
          <w:szCs w:val="24"/>
        </w:rPr>
        <w:t>El objetivo específico 1 plantea la construcción de una base de datos integrada a partir de microdatos del Censo Nacional de Población y Vivienda 2018, articulada con información territorial. Este objetivo responde a la necesidad de disponer de una estructura de datos que permita aplicar técnicas de análisis espacial y minería de datos, en coherencia con el enfoque de la investigación.</w:t>
      </w:r>
    </w:p>
    <w:p w14:paraId="1427C508" w14:textId="77777777" w:rsidR="00277D52" w:rsidRPr="00277D52" w:rsidRDefault="00277D52" w:rsidP="00277D52">
      <w:pPr>
        <w:rPr>
          <w:rFonts w:ascii="Arial" w:hAnsi="Arial" w:cs="Arial"/>
          <w:sz w:val="24"/>
          <w:szCs w:val="24"/>
        </w:rPr>
      </w:pPr>
      <w:r w:rsidRPr="00277D52">
        <w:rPr>
          <w:rFonts w:ascii="Arial" w:hAnsi="Arial" w:cs="Arial"/>
          <w:sz w:val="24"/>
          <w:szCs w:val="24"/>
        </w:rPr>
        <w:t>En este capítulo se describen las decisiones metodológicas adoptadas durante la construcción de la base de datos, así como los procedimientos técnicos implementados para su consolidación. Asimismo, se discuten las implicaciones de estas decisiones en términos de calidad de la información, capacidad analítica y coherencia con los objetivos del proyecto.</w:t>
      </w:r>
    </w:p>
    <w:p w14:paraId="54BE7270"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5FD8BB45">
          <v:rect id="_x0000_i1026" style="width:0;height:1.5pt" o:hralign="center" o:hrstd="t" o:hr="t" fillcolor="#a0a0a0" stroked="f"/>
        </w:pict>
      </w:r>
    </w:p>
    <w:p w14:paraId="293904D0" w14:textId="77777777" w:rsidR="00277D52" w:rsidRPr="00277D52" w:rsidRDefault="00277D52" w:rsidP="00277D52">
      <w:pPr>
        <w:rPr>
          <w:rFonts w:ascii="Arial" w:hAnsi="Arial" w:cs="Arial"/>
          <w:sz w:val="24"/>
          <w:szCs w:val="24"/>
        </w:rPr>
      </w:pPr>
      <w:r w:rsidRPr="00277D52">
        <w:rPr>
          <w:rFonts w:ascii="Arial" w:hAnsi="Arial" w:cs="Arial"/>
          <w:sz w:val="24"/>
          <w:szCs w:val="24"/>
        </w:rPr>
        <w:t>2.2 Fundamentación del uso de microdatos censales</w:t>
      </w:r>
    </w:p>
    <w:p w14:paraId="0B7A560A" w14:textId="77777777" w:rsidR="00277D52" w:rsidRPr="00277D52" w:rsidRDefault="00277D52" w:rsidP="00277D52">
      <w:pPr>
        <w:rPr>
          <w:rFonts w:ascii="Arial" w:hAnsi="Arial" w:cs="Arial"/>
          <w:sz w:val="24"/>
          <w:szCs w:val="24"/>
        </w:rPr>
      </w:pPr>
      <w:r w:rsidRPr="00277D52">
        <w:rPr>
          <w:rFonts w:ascii="Arial" w:hAnsi="Arial" w:cs="Arial"/>
          <w:sz w:val="24"/>
          <w:szCs w:val="24"/>
        </w:rPr>
        <w:t xml:space="preserve">El uso de microdatos censales en el análisis de desigualdades socioeconómicas se sustenta en la necesidad de capturar la diversidad de condiciones de vida presentes en el territorio. A diferencia de las estadísticas agregadas, los microdatos permiten analizar las características de individuos y hogares en su </w:t>
      </w:r>
      <w:r w:rsidRPr="00277D52">
        <w:rPr>
          <w:rFonts w:ascii="Arial" w:hAnsi="Arial" w:cs="Arial"/>
          <w:sz w:val="24"/>
          <w:szCs w:val="24"/>
        </w:rPr>
        <w:lastRenderedPageBreak/>
        <w:t>nivel más desagregado, lo que facilita la construcción de indicadores más precisos y representativos [1].</w:t>
      </w:r>
    </w:p>
    <w:p w14:paraId="6F437321" w14:textId="77777777" w:rsidR="00277D52" w:rsidRPr="00277D52" w:rsidRDefault="00277D52" w:rsidP="00277D52">
      <w:pPr>
        <w:rPr>
          <w:rFonts w:ascii="Arial" w:hAnsi="Arial" w:cs="Arial"/>
          <w:sz w:val="24"/>
          <w:szCs w:val="24"/>
        </w:rPr>
      </w:pPr>
      <w:r w:rsidRPr="00277D52">
        <w:rPr>
          <w:rFonts w:ascii="Arial" w:hAnsi="Arial" w:cs="Arial"/>
          <w:sz w:val="24"/>
          <w:szCs w:val="24"/>
        </w:rPr>
        <w:t>Desde una perspectiva metodológica, el análisis de microdatos permite estimar con mayor precisión los niveles de pobreza y desigualdad, al incorporar información detallada sobre las características socioeconómicas de la población [2]. Este enfoque resulta especialmente relevante en contextos urbanos, donde las condiciones de vida pueden variar significativamente incluso dentro de una misma ciudad.</w:t>
      </w:r>
    </w:p>
    <w:p w14:paraId="09A4AD5B" w14:textId="77777777" w:rsidR="00277D52" w:rsidRPr="00277D52" w:rsidRDefault="00277D52" w:rsidP="00277D52">
      <w:pPr>
        <w:rPr>
          <w:rFonts w:ascii="Arial" w:hAnsi="Arial" w:cs="Arial"/>
          <w:sz w:val="24"/>
          <w:szCs w:val="24"/>
        </w:rPr>
      </w:pPr>
      <w:r w:rsidRPr="00277D52">
        <w:rPr>
          <w:rFonts w:ascii="Arial" w:hAnsi="Arial" w:cs="Arial"/>
          <w:sz w:val="24"/>
          <w:szCs w:val="24"/>
        </w:rPr>
        <w:t>Asimismo, el análisis de la desigualdad requiere una aproximación multidimensional, en la cual se integren variables como educación, empleo y condiciones de vivienda [3]. Esta perspectiva permite superar enfoques limitados basados exclusivamente en el ingreso, ofreciendo una visión más completa del bienestar de la población.</w:t>
      </w:r>
    </w:p>
    <w:p w14:paraId="0D9B32FC" w14:textId="77777777" w:rsidR="00277D52" w:rsidRPr="00277D52" w:rsidRDefault="00277D52" w:rsidP="00277D52">
      <w:pPr>
        <w:rPr>
          <w:rFonts w:ascii="Arial" w:hAnsi="Arial" w:cs="Arial"/>
          <w:sz w:val="24"/>
          <w:szCs w:val="24"/>
        </w:rPr>
      </w:pPr>
      <w:r w:rsidRPr="00277D52">
        <w:rPr>
          <w:rFonts w:ascii="Arial" w:hAnsi="Arial" w:cs="Arial"/>
          <w:sz w:val="24"/>
          <w:szCs w:val="24"/>
        </w:rPr>
        <w:t>En este sentido, el enfoque adoptado en el presente estudio se alinea con la concepción del desarrollo como expansión de capacidades, donde las desigualdades no solo se expresan en términos económicos, sino también en el acceso a oportunidades y condiciones de vida dignas [4].</w:t>
      </w:r>
    </w:p>
    <w:p w14:paraId="15FFA67F"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18953D81">
          <v:rect id="_x0000_i1027" style="width:0;height:1.5pt" o:hralign="center" o:hrstd="t" o:hr="t" fillcolor="#a0a0a0" stroked="f"/>
        </w:pict>
      </w:r>
    </w:p>
    <w:p w14:paraId="0BA30B6A" w14:textId="77777777" w:rsidR="00277D52" w:rsidRPr="00277D52" w:rsidRDefault="00277D52" w:rsidP="00277D52">
      <w:pPr>
        <w:rPr>
          <w:rFonts w:ascii="Arial" w:hAnsi="Arial" w:cs="Arial"/>
          <w:sz w:val="24"/>
          <w:szCs w:val="24"/>
        </w:rPr>
      </w:pPr>
      <w:r w:rsidRPr="00277D52">
        <w:rPr>
          <w:rFonts w:ascii="Arial" w:hAnsi="Arial" w:cs="Arial"/>
          <w:sz w:val="24"/>
          <w:szCs w:val="24"/>
        </w:rPr>
        <w:t>2.3 Selección de fuentes y delimitación del estudio</w:t>
      </w:r>
    </w:p>
    <w:p w14:paraId="08F99A9B" w14:textId="77777777" w:rsidR="00277D52" w:rsidRPr="00277D52" w:rsidRDefault="00277D52" w:rsidP="00277D52">
      <w:pPr>
        <w:rPr>
          <w:rFonts w:ascii="Arial" w:hAnsi="Arial" w:cs="Arial"/>
          <w:sz w:val="24"/>
          <w:szCs w:val="24"/>
        </w:rPr>
      </w:pPr>
      <w:r w:rsidRPr="00277D52">
        <w:rPr>
          <w:rFonts w:ascii="Arial" w:hAnsi="Arial" w:cs="Arial"/>
          <w:sz w:val="24"/>
          <w:szCs w:val="24"/>
        </w:rPr>
        <w:t>La selección de las fuentes de información se realizó considerando criterios de pertinencia analítica, disponibilidad de variables relevantes y capacidad de integración territorial. En este marco, se optó por utilizar los microdatos del Censo Nacional de Población y Vivienda 2018 como fuente principal, debido a su carácter oficial y a la riqueza de información que proporciona.</w:t>
      </w:r>
    </w:p>
    <w:p w14:paraId="6AACEF84" w14:textId="77777777" w:rsidR="00277D52" w:rsidRPr="00277D52" w:rsidRDefault="00277D52" w:rsidP="00277D52">
      <w:pPr>
        <w:rPr>
          <w:rFonts w:ascii="Arial" w:hAnsi="Arial" w:cs="Arial"/>
          <w:sz w:val="24"/>
          <w:szCs w:val="24"/>
        </w:rPr>
      </w:pPr>
      <w:r w:rsidRPr="00277D52">
        <w:rPr>
          <w:rFonts w:ascii="Arial" w:hAnsi="Arial" w:cs="Arial"/>
          <w:sz w:val="24"/>
          <w:szCs w:val="24"/>
        </w:rPr>
        <w:t>El CNPV 2018 constituye la principal fuente de información sociodemográfica en Colombia, garantizando cobertura nacional y representatividad estadística [9]. Además, su diseño metodológico se encuentra alineado con estándares internacionales para la realización de censos, lo que refuerza la confiabilidad de los datos [10].</w:t>
      </w:r>
    </w:p>
    <w:p w14:paraId="076D9889" w14:textId="77777777" w:rsidR="00277D52" w:rsidRPr="00277D52" w:rsidRDefault="00277D52" w:rsidP="00277D52">
      <w:pPr>
        <w:rPr>
          <w:rFonts w:ascii="Arial" w:hAnsi="Arial" w:cs="Arial"/>
          <w:sz w:val="24"/>
          <w:szCs w:val="24"/>
        </w:rPr>
      </w:pPr>
      <w:r w:rsidRPr="00277D52">
        <w:rPr>
          <w:rFonts w:ascii="Arial" w:hAnsi="Arial" w:cs="Arial"/>
          <w:sz w:val="24"/>
          <w:szCs w:val="24"/>
        </w:rPr>
        <w:t>La delimitación del estudio se centró en las ciudades de Cali, Pereira y Armenia, con el fin de analizar contextos urbanos con características diferenciadas. Esta selección permite explorar variaciones en las dinámicas de desigualdad, tanto al interior de cada ciudad como en términos comparativos.</w:t>
      </w:r>
    </w:p>
    <w:p w14:paraId="128183BC" w14:textId="77777777" w:rsidR="00277D52" w:rsidRPr="00277D52" w:rsidRDefault="00277D52" w:rsidP="00277D52">
      <w:pPr>
        <w:rPr>
          <w:rFonts w:ascii="Arial" w:hAnsi="Arial" w:cs="Arial"/>
          <w:sz w:val="24"/>
          <w:szCs w:val="24"/>
        </w:rPr>
      </w:pPr>
      <w:r w:rsidRPr="00277D52">
        <w:rPr>
          <w:rFonts w:ascii="Arial" w:hAnsi="Arial" w:cs="Arial"/>
          <w:sz w:val="24"/>
          <w:szCs w:val="24"/>
        </w:rPr>
        <w:t>En coherencia con el objetivo específico 1, la selección de las fuentes y la delimitación territorial se orientaron a garantizar la disponibilidad de información desagregada y georreferenciable, lo cual constituye un requisito fundamental para el desarrollo del análisis espacial.</w:t>
      </w:r>
    </w:p>
    <w:p w14:paraId="0DA76D1C"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306545DF">
          <v:rect id="_x0000_i1028" style="width:0;height:1.5pt" o:hralign="center" o:hrstd="t" o:hr="t" fillcolor="#a0a0a0" stroked="f"/>
        </w:pict>
      </w:r>
    </w:p>
    <w:p w14:paraId="6B118C48" w14:textId="77777777" w:rsidR="00277D52" w:rsidRPr="00277D52" w:rsidRDefault="00277D52" w:rsidP="00277D52">
      <w:pPr>
        <w:rPr>
          <w:rFonts w:ascii="Arial" w:hAnsi="Arial" w:cs="Arial"/>
          <w:sz w:val="24"/>
          <w:szCs w:val="24"/>
        </w:rPr>
      </w:pPr>
      <w:r w:rsidRPr="00277D52">
        <w:rPr>
          <w:rFonts w:ascii="Arial" w:hAnsi="Arial" w:cs="Arial"/>
          <w:sz w:val="24"/>
          <w:szCs w:val="24"/>
        </w:rPr>
        <w:lastRenderedPageBreak/>
        <w:t>2.4 Estructura de los microdatos y criterios de integración</w:t>
      </w:r>
    </w:p>
    <w:p w14:paraId="1B3FA071" w14:textId="77777777" w:rsidR="00277D52" w:rsidRPr="00277D52" w:rsidRDefault="00277D52" w:rsidP="00277D52">
      <w:pPr>
        <w:rPr>
          <w:rFonts w:ascii="Arial" w:hAnsi="Arial" w:cs="Arial"/>
          <w:sz w:val="24"/>
          <w:szCs w:val="24"/>
        </w:rPr>
      </w:pPr>
      <w:r w:rsidRPr="00277D52">
        <w:rPr>
          <w:rFonts w:ascii="Arial" w:hAnsi="Arial" w:cs="Arial"/>
          <w:sz w:val="24"/>
          <w:szCs w:val="24"/>
        </w:rPr>
        <w:t>Los microdatos del CNPV 2018 presentan una estructura jerárquica que organiza la información en diferentes niveles, tales como individuos, hogares y viviendas. Esta organización responde a la necesidad de capturar múltiples dimensiones de la realidad socioeconómica, permitiendo un análisis integral de las condiciones de vida.</w:t>
      </w:r>
    </w:p>
    <w:p w14:paraId="72FAD34F" w14:textId="77777777" w:rsidR="00277D52" w:rsidRPr="00277D52" w:rsidRDefault="00277D52" w:rsidP="00277D52">
      <w:pPr>
        <w:rPr>
          <w:rFonts w:ascii="Arial" w:hAnsi="Arial" w:cs="Arial"/>
          <w:sz w:val="24"/>
          <w:szCs w:val="24"/>
        </w:rPr>
      </w:pPr>
      <w:r w:rsidRPr="00277D52">
        <w:rPr>
          <w:rFonts w:ascii="Arial" w:hAnsi="Arial" w:cs="Arial"/>
          <w:sz w:val="24"/>
          <w:szCs w:val="24"/>
        </w:rPr>
        <w:t>El nivel individual proporciona información sociodemográfica y laboral, mientras que el nivel de hogar incorpora variables relacionadas con la composición familiar. Por su parte, el nivel de vivienda incluye características físicas y acceso a servicios, las cuales constituyen indicadores fundamentales de bienestar.</w:t>
      </w:r>
    </w:p>
    <w:p w14:paraId="1B8969C0" w14:textId="77777777" w:rsidR="00277D52" w:rsidRPr="00277D52" w:rsidRDefault="00277D52" w:rsidP="00277D52">
      <w:pPr>
        <w:rPr>
          <w:rFonts w:ascii="Arial" w:hAnsi="Arial" w:cs="Arial"/>
          <w:sz w:val="24"/>
          <w:szCs w:val="24"/>
        </w:rPr>
      </w:pPr>
      <w:r w:rsidRPr="00277D52">
        <w:rPr>
          <w:rFonts w:ascii="Arial" w:hAnsi="Arial" w:cs="Arial"/>
          <w:sz w:val="24"/>
          <w:szCs w:val="24"/>
        </w:rPr>
        <w:t>La integración de estos niveles se realizó mediante identificadores comunes, lo que permitió consolidar la información en una única base de datos. Este proceso es esencial para el análisis multidimensional, ya que permite relacionar variables de diferentes niveles dentro de un mismo marco analítico.</w:t>
      </w:r>
    </w:p>
    <w:p w14:paraId="01AA9B88"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383644D8">
          <v:rect id="_x0000_i1029" style="width:0;height:1.5pt" o:hralign="center" o:hrstd="t" o:hr="t" fillcolor="#a0a0a0" stroked="f"/>
        </w:pict>
      </w:r>
    </w:p>
    <w:p w14:paraId="091D6D67" w14:textId="77777777" w:rsidR="00277D52" w:rsidRPr="00277D52" w:rsidRDefault="00277D52" w:rsidP="00277D52">
      <w:pPr>
        <w:rPr>
          <w:rFonts w:ascii="Arial" w:hAnsi="Arial" w:cs="Arial"/>
          <w:sz w:val="24"/>
          <w:szCs w:val="24"/>
        </w:rPr>
      </w:pPr>
      <w:r w:rsidRPr="00277D52">
        <w:rPr>
          <w:rFonts w:ascii="Arial" w:hAnsi="Arial" w:cs="Arial"/>
          <w:sz w:val="24"/>
          <w:szCs w:val="24"/>
        </w:rPr>
        <w:t>2.5 Procesamiento y filtrado de la información</w:t>
      </w:r>
    </w:p>
    <w:p w14:paraId="48FAB65A" w14:textId="77777777" w:rsidR="00277D52" w:rsidRPr="00277D52" w:rsidRDefault="00277D52" w:rsidP="00277D52">
      <w:pPr>
        <w:rPr>
          <w:rFonts w:ascii="Arial" w:hAnsi="Arial" w:cs="Arial"/>
          <w:sz w:val="24"/>
          <w:szCs w:val="24"/>
        </w:rPr>
      </w:pPr>
      <w:r w:rsidRPr="00277D52">
        <w:rPr>
          <w:rFonts w:ascii="Arial" w:hAnsi="Arial" w:cs="Arial"/>
          <w:sz w:val="24"/>
          <w:szCs w:val="24"/>
        </w:rPr>
        <w:t>El procesamiento de los datos se llevó a cabo utilizando herramientas de análisis computacional, específicamente el lenguaje de programación Python y la biblioteca pandas. Esta elección responde a la necesidad de manejar grandes volúmenes de información de manera eficiente, garantizando la integridad de los datos durante su manipulación.</w:t>
      </w:r>
    </w:p>
    <w:p w14:paraId="5532726D" w14:textId="77777777" w:rsidR="00277D52" w:rsidRPr="00277D52" w:rsidRDefault="00277D52" w:rsidP="00277D52">
      <w:pPr>
        <w:rPr>
          <w:rFonts w:ascii="Arial" w:hAnsi="Arial" w:cs="Arial"/>
          <w:sz w:val="24"/>
          <w:szCs w:val="24"/>
        </w:rPr>
      </w:pPr>
      <w:r w:rsidRPr="00277D52">
        <w:rPr>
          <w:rFonts w:ascii="Arial" w:hAnsi="Arial" w:cs="Arial"/>
          <w:sz w:val="24"/>
          <w:szCs w:val="24"/>
        </w:rPr>
        <w:t>Un aspecto fundamental en esta etapa es la correcta estructuración de los datos, ya que la organización de la información influye directamente en la calidad del análisis. En este sentido, la estructuración de los datos bajo principios de orden y consistencia constituye una práctica esencial en ciencia de datos [11].</w:t>
      </w:r>
    </w:p>
    <w:p w14:paraId="0B5CA50E" w14:textId="77777777" w:rsidR="00277D52" w:rsidRPr="00277D52" w:rsidRDefault="00277D52" w:rsidP="00277D52">
      <w:pPr>
        <w:rPr>
          <w:rFonts w:ascii="Arial" w:hAnsi="Arial" w:cs="Arial"/>
          <w:sz w:val="24"/>
          <w:szCs w:val="24"/>
        </w:rPr>
      </w:pPr>
      <w:r w:rsidRPr="00277D52">
        <w:rPr>
          <w:rFonts w:ascii="Arial" w:hAnsi="Arial" w:cs="Arial"/>
          <w:sz w:val="24"/>
          <w:szCs w:val="24"/>
        </w:rPr>
        <w:t>Posteriormente, se realizó un proceso de filtrado territorial basado en los códigos oficiales del DANE, lo que permitió seleccionar únicamente los registros correspondientes a las ciudades de estudio. Este procedimiento facilita la focalización del análisis y optimiza el uso de recursos computacionales.</w:t>
      </w:r>
    </w:p>
    <w:p w14:paraId="7C34BB4F"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14FBDB3A">
          <v:rect id="_x0000_i1030" style="width:0;height:1.5pt" o:hralign="center" o:hrstd="t" o:hr="t" fillcolor="#a0a0a0" stroked="f"/>
        </w:pict>
      </w:r>
    </w:p>
    <w:p w14:paraId="0E02D2DE" w14:textId="77777777" w:rsidR="00277D52" w:rsidRPr="00277D52" w:rsidRDefault="00277D52" w:rsidP="00277D52">
      <w:pPr>
        <w:rPr>
          <w:rFonts w:ascii="Arial" w:hAnsi="Arial" w:cs="Arial"/>
          <w:sz w:val="24"/>
          <w:szCs w:val="24"/>
        </w:rPr>
      </w:pPr>
      <w:r w:rsidRPr="00277D52">
        <w:rPr>
          <w:rFonts w:ascii="Arial" w:hAnsi="Arial" w:cs="Arial"/>
          <w:sz w:val="24"/>
          <w:szCs w:val="24"/>
        </w:rPr>
        <w:t>2.6 Integración de bases de datos</w:t>
      </w:r>
    </w:p>
    <w:p w14:paraId="1D604A38" w14:textId="77777777" w:rsidR="00277D52" w:rsidRPr="00277D52" w:rsidRDefault="00277D52" w:rsidP="00277D52">
      <w:pPr>
        <w:rPr>
          <w:rFonts w:ascii="Arial" w:hAnsi="Arial" w:cs="Arial"/>
          <w:sz w:val="24"/>
          <w:szCs w:val="24"/>
        </w:rPr>
      </w:pPr>
      <w:r w:rsidRPr="00277D52">
        <w:rPr>
          <w:rFonts w:ascii="Arial" w:hAnsi="Arial" w:cs="Arial"/>
          <w:sz w:val="24"/>
          <w:szCs w:val="24"/>
        </w:rPr>
        <w:t>La integración de las diferentes bases de datos constituye un proceso fundamental en la construcción del dataset final. Dado que los microdatos se encuentran distribuidos en múltiples archivos, fue necesario establecer relaciones entre ellos mediante el uso de llaves comunes.</w:t>
      </w:r>
    </w:p>
    <w:p w14:paraId="120C0955" w14:textId="77777777" w:rsidR="00277D52" w:rsidRPr="00277D52" w:rsidRDefault="00277D52" w:rsidP="00277D52">
      <w:pPr>
        <w:rPr>
          <w:rFonts w:ascii="Arial" w:hAnsi="Arial" w:cs="Arial"/>
          <w:sz w:val="24"/>
          <w:szCs w:val="24"/>
        </w:rPr>
      </w:pPr>
      <w:r w:rsidRPr="00277D52">
        <w:rPr>
          <w:rFonts w:ascii="Arial" w:hAnsi="Arial" w:cs="Arial"/>
          <w:sz w:val="24"/>
          <w:szCs w:val="24"/>
        </w:rPr>
        <w:t xml:space="preserve">En una primera etapa, se integraron los datos de personas con los datos de hogares, lo que permitió contextualizar las características individuales dentro de su </w:t>
      </w:r>
      <w:r w:rsidRPr="00277D52">
        <w:rPr>
          <w:rFonts w:ascii="Arial" w:hAnsi="Arial" w:cs="Arial"/>
          <w:sz w:val="24"/>
          <w:szCs w:val="24"/>
        </w:rPr>
        <w:lastRenderedPageBreak/>
        <w:t>entorno familiar. Posteriormente, se incorporó la información de viviendas, enriqueciendo la base con variables relacionadas con las condiciones habitacionales.</w:t>
      </w:r>
    </w:p>
    <w:p w14:paraId="72CEC430" w14:textId="77777777" w:rsidR="00277D52" w:rsidRPr="00277D52" w:rsidRDefault="00277D52" w:rsidP="00277D52">
      <w:pPr>
        <w:rPr>
          <w:rFonts w:ascii="Arial" w:hAnsi="Arial" w:cs="Arial"/>
          <w:sz w:val="24"/>
          <w:szCs w:val="24"/>
        </w:rPr>
      </w:pPr>
      <w:r w:rsidRPr="00277D52">
        <w:rPr>
          <w:rFonts w:ascii="Arial" w:hAnsi="Arial" w:cs="Arial"/>
          <w:sz w:val="24"/>
          <w:szCs w:val="24"/>
        </w:rPr>
        <w:t>Finalmente, se integraron los identificadores territoriales, lo que permitió ubicar cada registro en una unidad espacial específica. Este paso es esencial para el desarrollo del análisis espacial, ya que posibilita la representación geográfica de los datos.</w:t>
      </w:r>
    </w:p>
    <w:p w14:paraId="01495C21"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1D1601DC">
          <v:rect id="_x0000_i1031" style="width:0;height:1.5pt" o:hralign="center" o:hrstd="t" o:hr="t" fillcolor="#a0a0a0" stroked="f"/>
        </w:pict>
      </w:r>
    </w:p>
    <w:p w14:paraId="766006AC" w14:textId="77777777" w:rsidR="00277D52" w:rsidRPr="00277D52" w:rsidRDefault="00277D52" w:rsidP="00277D52">
      <w:pPr>
        <w:rPr>
          <w:rFonts w:ascii="Arial" w:hAnsi="Arial" w:cs="Arial"/>
          <w:sz w:val="24"/>
          <w:szCs w:val="24"/>
        </w:rPr>
      </w:pPr>
      <w:r w:rsidRPr="00277D52">
        <w:rPr>
          <w:rFonts w:ascii="Arial" w:hAnsi="Arial" w:cs="Arial"/>
          <w:sz w:val="24"/>
          <w:szCs w:val="24"/>
        </w:rPr>
        <w:t>2.7 Depuración y selección de variables</w:t>
      </w:r>
    </w:p>
    <w:p w14:paraId="5CECE686" w14:textId="77777777" w:rsidR="00277D52" w:rsidRPr="00277D52" w:rsidRDefault="00277D52" w:rsidP="00277D52">
      <w:pPr>
        <w:rPr>
          <w:rFonts w:ascii="Arial" w:hAnsi="Arial" w:cs="Arial"/>
          <w:sz w:val="24"/>
          <w:szCs w:val="24"/>
        </w:rPr>
      </w:pPr>
      <w:r w:rsidRPr="00277D52">
        <w:rPr>
          <w:rFonts w:ascii="Arial" w:hAnsi="Arial" w:cs="Arial"/>
          <w:sz w:val="24"/>
          <w:szCs w:val="24"/>
        </w:rPr>
        <w:t>El proceso de depuración de la base de datos se orientó a reducir la complejidad del dataset y conservar únicamente aquellas variables relevantes para el análisis. Esta etapa es fundamental, ya que un exceso de variables puede dificultar la interpretación de los resultados.</w:t>
      </w:r>
    </w:p>
    <w:p w14:paraId="07549998" w14:textId="77777777" w:rsidR="00277D52" w:rsidRPr="00277D52" w:rsidRDefault="00277D52" w:rsidP="00277D52">
      <w:pPr>
        <w:rPr>
          <w:rFonts w:ascii="Arial" w:hAnsi="Arial" w:cs="Arial"/>
          <w:sz w:val="24"/>
          <w:szCs w:val="24"/>
        </w:rPr>
      </w:pPr>
      <w:r w:rsidRPr="00277D52">
        <w:rPr>
          <w:rFonts w:ascii="Arial" w:hAnsi="Arial" w:cs="Arial"/>
          <w:sz w:val="24"/>
          <w:szCs w:val="24"/>
        </w:rPr>
        <w:t>La selección de variables se realizó considerando su pertinencia en el análisis de desigualdades socioeconómicas, priorizando dimensiones como educación, empleo y condiciones de vivienda. Este enfoque permite construir indicadores que reflejan de manera más precisa el bienestar de la población.</w:t>
      </w:r>
    </w:p>
    <w:p w14:paraId="539519CF" w14:textId="77777777" w:rsidR="00277D52" w:rsidRPr="00277D52" w:rsidRDefault="00277D52" w:rsidP="00277D52">
      <w:pPr>
        <w:rPr>
          <w:rFonts w:ascii="Arial" w:hAnsi="Arial" w:cs="Arial"/>
          <w:sz w:val="24"/>
          <w:szCs w:val="24"/>
        </w:rPr>
      </w:pPr>
      <w:r w:rsidRPr="00277D52">
        <w:rPr>
          <w:rFonts w:ascii="Arial" w:hAnsi="Arial" w:cs="Arial"/>
          <w:sz w:val="24"/>
          <w:szCs w:val="24"/>
        </w:rPr>
        <w:t>Asimismo, se eliminaron variables redundantes o sin valor analítico, lo que permitió optimizar la estructura del dataset. Este proceso contribuye a mejorar la eficiencia del análisis y garantizar la coherencia con los objetivos del proyecto.</w:t>
      </w:r>
    </w:p>
    <w:p w14:paraId="1A0BFFE1"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70521AD4">
          <v:rect id="_x0000_i1032" style="width:0;height:1.5pt" o:hralign="center" o:hrstd="t" o:hr="t" fillcolor="#a0a0a0" stroked="f"/>
        </w:pict>
      </w:r>
    </w:p>
    <w:p w14:paraId="596420DF" w14:textId="77777777" w:rsidR="00277D52" w:rsidRPr="00277D52" w:rsidRDefault="00277D52" w:rsidP="00277D52">
      <w:pPr>
        <w:rPr>
          <w:rFonts w:ascii="Arial" w:hAnsi="Arial" w:cs="Arial"/>
          <w:sz w:val="24"/>
          <w:szCs w:val="24"/>
        </w:rPr>
      </w:pPr>
      <w:r w:rsidRPr="00277D52">
        <w:rPr>
          <w:rFonts w:ascii="Arial" w:hAnsi="Arial" w:cs="Arial"/>
          <w:sz w:val="24"/>
          <w:szCs w:val="24"/>
        </w:rPr>
        <w:t>2.8 Validación y control de calidad</w:t>
      </w:r>
    </w:p>
    <w:p w14:paraId="714DE573" w14:textId="77777777" w:rsidR="00277D52" w:rsidRPr="00277D52" w:rsidRDefault="00277D52" w:rsidP="00277D52">
      <w:pPr>
        <w:rPr>
          <w:rFonts w:ascii="Arial" w:hAnsi="Arial" w:cs="Arial"/>
          <w:sz w:val="24"/>
          <w:szCs w:val="24"/>
        </w:rPr>
      </w:pPr>
      <w:r w:rsidRPr="00277D52">
        <w:rPr>
          <w:rFonts w:ascii="Arial" w:hAnsi="Arial" w:cs="Arial"/>
          <w:sz w:val="24"/>
          <w:szCs w:val="24"/>
        </w:rPr>
        <w:t>La validación de la base de datos constituye una etapa esencial para garantizar la confiabilidad de la información. Este proceso incluyó la revisión de valores faltantes, la detección de duplicados y la verificación de la consistencia de los identificadores territoriales.</w:t>
      </w:r>
    </w:p>
    <w:p w14:paraId="54684FD5" w14:textId="77777777" w:rsidR="00277D52" w:rsidRPr="00277D52" w:rsidRDefault="00277D52" w:rsidP="00277D52">
      <w:pPr>
        <w:rPr>
          <w:rFonts w:ascii="Arial" w:hAnsi="Arial" w:cs="Arial"/>
          <w:sz w:val="24"/>
          <w:szCs w:val="24"/>
        </w:rPr>
      </w:pPr>
      <w:r w:rsidRPr="00277D52">
        <w:rPr>
          <w:rFonts w:ascii="Arial" w:hAnsi="Arial" w:cs="Arial"/>
          <w:sz w:val="24"/>
          <w:szCs w:val="24"/>
        </w:rPr>
        <w:t>La calidad de los datos es un elemento crítico en cualquier proceso analítico, ya que influye directamente en la validez de los resultados obtenidos [12]. En este sentido, la implementación de controles de calidad permite identificar y corregir posibles inconsistencias en la información.</w:t>
      </w:r>
    </w:p>
    <w:p w14:paraId="40CB7D50" w14:textId="77777777" w:rsidR="00277D52" w:rsidRPr="00277D52" w:rsidRDefault="00277D52" w:rsidP="00277D52">
      <w:pPr>
        <w:rPr>
          <w:rFonts w:ascii="Arial" w:hAnsi="Arial" w:cs="Arial"/>
          <w:sz w:val="24"/>
          <w:szCs w:val="24"/>
        </w:rPr>
      </w:pPr>
      <w:r w:rsidRPr="00277D52">
        <w:rPr>
          <w:rFonts w:ascii="Arial" w:hAnsi="Arial" w:cs="Arial"/>
          <w:sz w:val="24"/>
          <w:szCs w:val="24"/>
        </w:rPr>
        <w:t>Asimismo, se verificó la coherencia de las relaciones entre los diferentes niveles de información, garantizando que la integración de los datos se hubiera realizado correctamente.</w:t>
      </w:r>
    </w:p>
    <w:p w14:paraId="59934538"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18DC22EA">
          <v:rect id="_x0000_i1033" style="width:0;height:1.5pt" o:hralign="center" o:hrstd="t" o:hr="t" fillcolor="#a0a0a0" stroked="f"/>
        </w:pict>
      </w:r>
    </w:p>
    <w:p w14:paraId="01D36969" w14:textId="77777777" w:rsidR="00277D52" w:rsidRPr="00277D52" w:rsidRDefault="00277D52" w:rsidP="00277D52">
      <w:pPr>
        <w:rPr>
          <w:rFonts w:ascii="Arial" w:hAnsi="Arial" w:cs="Arial"/>
          <w:sz w:val="24"/>
          <w:szCs w:val="24"/>
        </w:rPr>
      </w:pPr>
      <w:r w:rsidRPr="00277D52">
        <w:rPr>
          <w:rFonts w:ascii="Arial" w:hAnsi="Arial" w:cs="Arial"/>
          <w:sz w:val="24"/>
          <w:szCs w:val="24"/>
        </w:rPr>
        <w:t>2.9 Implicaciones metodológicas</w:t>
      </w:r>
    </w:p>
    <w:p w14:paraId="267FA27C" w14:textId="77777777" w:rsidR="00277D52" w:rsidRPr="00277D52" w:rsidRDefault="00277D52" w:rsidP="00277D52">
      <w:pPr>
        <w:rPr>
          <w:rFonts w:ascii="Arial" w:hAnsi="Arial" w:cs="Arial"/>
          <w:sz w:val="24"/>
          <w:szCs w:val="24"/>
        </w:rPr>
      </w:pPr>
      <w:r w:rsidRPr="00277D52">
        <w:rPr>
          <w:rFonts w:ascii="Arial" w:hAnsi="Arial" w:cs="Arial"/>
          <w:sz w:val="24"/>
          <w:szCs w:val="24"/>
        </w:rPr>
        <w:lastRenderedPageBreak/>
        <w:t>La construcción de la base de datos tiene implicaciones directas en la capacidad analítica del proyecto. La disponibilidad de información desagregada y georreferenciada permite aplicar técnicas de análisis espacial que amplían significativamente el alcance del estudio.</w:t>
      </w:r>
    </w:p>
    <w:p w14:paraId="09893184" w14:textId="77777777" w:rsidR="00277D52" w:rsidRPr="00277D52" w:rsidRDefault="00277D52" w:rsidP="00277D52">
      <w:pPr>
        <w:rPr>
          <w:rFonts w:ascii="Arial" w:hAnsi="Arial" w:cs="Arial"/>
          <w:sz w:val="24"/>
          <w:szCs w:val="24"/>
        </w:rPr>
      </w:pPr>
      <w:r w:rsidRPr="00277D52">
        <w:rPr>
          <w:rFonts w:ascii="Arial" w:hAnsi="Arial" w:cs="Arial"/>
          <w:sz w:val="24"/>
          <w:szCs w:val="24"/>
        </w:rPr>
        <w:t>Asimismo, la integración de múltiples dimensiones del bienestar posibilita la construcción de indicadores complejos que reflejan de manera más completa las condiciones de vida de la población. Esto contribuye a una mejor comprensión de las desigualdades socioeconómicas.</w:t>
      </w:r>
    </w:p>
    <w:p w14:paraId="6F3D3D7D" w14:textId="77777777" w:rsidR="00277D52" w:rsidRPr="00277D52" w:rsidRDefault="00277D52" w:rsidP="00277D52">
      <w:pPr>
        <w:rPr>
          <w:rFonts w:ascii="Arial" w:hAnsi="Arial" w:cs="Arial"/>
          <w:sz w:val="24"/>
          <w:szCs w:val="24"/>
        </w:rPr>
      </w:pPr>
      <w:r w:rsidRPr="00277D52">
        <w:rPr>
          <w:rFonts w:ascii="Arial" w:hAnsi="Arial" w:cs="Arial"/>
          <w:sz w:val="24"/>
          <w:szCs w:val="24"/>
        </w:rPr>
        <w:t>En este sentido, la fase de construcción de la base de datos no solo cumple una función técnica, sino que define el marco metodológico del proyecto y condiciona el tipo de análisis que se puede realizar.</w:t>
      </w:r>
    </w:p>
    <w:p w14:paraId="1B6CC884"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50343410">
          <v:rect id="_x0000_i1034" style="width:0;height:1.5pt" o:hralign="center" o:hrstd="t" o:hr="t" fillcolor="#a0a0a0" stroked="f"/>
        </w:pict>
      </w:r>
    </w:p>
    <w:p w14:paraId="37553D34" w14:textId="77777777" w:rsidR="00277D52" w:rsidRPr="00277D52" w:rsidRDefault="00277D52" w:rsidP="00277D52">
      <w:pPr>
        <w:rPr>
          <w:rFonts w:ascii="Arial" w:hAnsi="Arial" w:cs="Arial"/>
          <w:sz w:val="24"/>
          <w:szCs w:val="24"/>
        </w:rPr>
      </w:pPr>
      <w:r w:rsidRPr="00277D52">
        <w:rPr>
          <w:rFonts w:ascii="Arial" w:hAnsi="Arial" w:cs="Arial"/>
          <w:sz w:val="24"/>
          <w:szCs w:val="24"/>
        </w:rPr>
        <w:t>2.10 Conclusión</w:t>
      </w:r>
    </w:p>
    <w:p w14:paraId="5C19D825" w14:textId="77777777" w:rsidR="00277D52" w:rsidRPr="00277D52" w:rsidRDefault="00277D52" w:rsidP="00277D52">
      <w:pPr>
        <w:rPr>
          <w:rFonts w:ascii="Arial" w:hAnsi="Arial" w:cs="Arial"/>
          <w:sz w:val="24"/>
          <w:szCs w:val="24"/>
        </w:rPr>
      </w:pPr>
      <w:r w:rsidRPr="00277D52">
        <w:rPr>
          <w:rFonts w:ascii="Arial" w:hAnsi="Arial" w:cs="Arial"/>
          <w:sz w:val="24"/>
          <w:szCs w:val="24"/>
        </w:rPr>
        <w:t>En este capítulo se presentó el proceso de construcción de la base de datos censal y espacial, destacando las decisiones metodológicas y los procedimientos técnicos implementados. Este proceso permitió consolidar un dataset coherente, robusto y adecuado para el análisis de desigualdades socioeconómicas.</w:t>
      </w:r>
    </w:p>
    <w:p w14:paraId="6685DEA1" w14:textId="77777777" w:rsidR="00277D52" w:rsidRPr="00277D52" w:rsidRDefault="00277D52" w:rsidP="00277D52">
      <w:pPr>
        <w:rPr>
          <w:rFonts w:ascii="Arial" w:hAnsi="Arial" w:cs="Arial"/>
          <w:sz w:val="24"/>
          <w:szCs w:val="24"/>
        </w:rPr>
      </w:pPr>
      <w:r w:rsidRPr="00277D52">
        <w:rPr>
          <w:rFonts w:ascii="Arial" w:hAnsi="Arial" w:cs="Arial"/>
          <w:sz w:val="24"/>
          <w:szCs w:val="24"/>
        </w:rPr>
        <w:t>La base de datos construida constituye un insumo fundamental para el desarrollo del proyecto, ya que permite integrar información social y territorial en un mismo marco analítico. Esto habilita la aplicación de técnicas avanzadas de análisis espacial y minería de datos.</w:t>
      </w:r>
    </w:p>
    <w:p w14:paraId="38BAA280" w14:textId="77777777" w:rsidR="00277D52" w:rsidRPr="00277D52" w:rsidRDefault="00277D52" w:rsidP="00277D52">
      <w:pPr>
        <w:rPr>
          <w:rFonts w:ascii="Arial" w:hAnsi="Arial" w:cs="Arial"/>
          <w:sz w:val="24"/>
          <w:szCs w:val="24"/>
        </w:rPr>
      </w:pPr>
      <w:r w:rsidRPr="00277D52">
        <w:rPr>
          <w:rFonts w:ascii="Arial" w:hAnsi="Arial" w:cs="Arial"/>
          <w:sz w:val="24"/>
          <w:szCs w:val="24"/>
        </w:rPr>
        <w:t>De esta manera, se cumple el objetivo específico 1 del estudio, estableciendo una base sólida para las fases posteriores del proyecto y garantizando la validez de los resultados obtenidos.</w:t>
      </w:r>
    </w:p>
    <w:p w14:paraId="2CBA433F" w14:textId="77777777" w:rsidR="00386675" w:rsidRDefault="00386675">
      <w:pPr>
        <w:rPr>
          <w:rFonts w:ascii="Arial" w:hAnsi="Arial" w:cs="Arial"/>
          <w:sz w:val="24"/>
          <w:szCs w:val="24"/>
        </w:rPr>
      </w:pPr>
    </w:p>
    <w:p w14:paraId="0C336AE5" w14:textId="77777777" w:rsidR="00277D52" w:rsidRDefault="00277D52">
      <w:pPr>
        <w:rPr>
          <w:rFonts w:ascii="Arial" w:hAnsi="Arial" w:cs="Arial"/>
          <w:sz w:val="24"/>
          <w:szCs w:val="24"/>
        </w:rPr>
      </w:pPr>
    </w:p>
    <w:p w14:paraId="15731FCC" w14:textId="77777777" w:rsidR="00277D52" w:rsidRDefault="00277D52">
      <w:pPr>
        <w:rPr>
          <w:rFonts w:ascii="Arial" w:hAnsi="Arial" w:cs="Arial"/>
          <w:sz w:val="24"/>
          <w:szCs w:val="24"/>
        </w:rPr>
      </w:pPr>
    </w:p>
    <w:p w14:paraId="5C4E74F0" w14:textId="77777777" w:rsidR="00277D52" w:rsidRDefault="00277D52">
      <w:pPr>
        <w:rPr>
          <w:rFonts w:ascii="Arial" w:hAnsi="Arial" w:cs="Arial"/>
          <w:sz w:val="24"/>
          <w:szCs w:val="24"/>
        </w:rPr>
      </w:pPr>
    </w:p>
    <w:p w14:paraId="2FB03551" w14:textId="77777777" w:rsidR="00277D52" w:rsidRDefault="00277D52">
      <w:pPr>
        <w:rPr>
          <w:rFonts w:ascii="Arial" w:hAnsi="Arial" w:cs="Arial"/>
          <w:sz w:val="24"/>
          <w:szCs w:val="24"/>
        </w:rPr>
      </w:pPr>
    </w:p>
    <w:p w14:paraId="48395AE3" w14:textId="77777777" w:rsidR="00277D52" w:rsidRDefault="00277D52" w:rsidP="00277D52">
      <w:pPr>
        <w:rPr>
          <w:rFonts w:ascii="Arial" w:hAnsi="Arial" w:cs="Arial"/>
          <w:sz w:val="24"/>
          <w:szCs w:val="24"/>
        </w:rPr>
      </w:pPr>
    </w:p>
    <w:p w14:paraId="23618871" w14:textId="77777777" w:rsidR="00277D52" w:rsidRDefault="00277D52" w:rsidP="00277D52">
      <w:pPr>
        <w:rPr>
          <w:rFonts w:ascii="Arial" w:hAnsi="Arial" w:cs="Arial"/>
          <w:sz w:val="24"/>
          <w:szCs w:val="24"/>
        </w:rPr>
      </w:pPr>
    </w:p>
    <w:p w14:paraId="1C262C21" w14:textId="77777777" w:rsidR="00277D52" w:rsidRDefault="00277D52" w:rsidP="00277D52">
      <w:pPr>
        <w:rPr>
          <w:rFonts w:ascii="Arial" w:hAnsi="Arial" w:cs="Arial"/>
          <w:sz w:val="24"/>
          <w:szCs w:val="24"/>
        </w:rPr>
      </w:pPr>
    </w:p>
    <w:p w14:paraId="3053EC09" w14:textId="77777777" w:rsidR="00277D52" w:rsidRDefault="00277D52" w:rsidP="00277D52">
      <w:pPr>
        <w:rPr>
          <w:rFonts w:ascii="Arial" w:hAnsi="Arial" w:cs="Arial"/>
          <w:sz w:val="24"/>
          <w:szCs w:val="24"/>
        </w:rPr>
      </w:pPr>
    </w:p>
    <w:p w14:paraId="038A7244" w14:textId="77777777" w:rsidR="00277D52" w:rsidRDefault="00277D52" w:rsidP="00277D52">
      <w:pPr>
        <w:rPr>
          <w:rFonts w:ascii="Arial" w:hAnsi="Arial" w:cs="Arial"/>
          <w:sz w:val="24"/>
          <w:szCs w:val="24"/>
        </w:rPr>
      </w:pPr>
    </w:p>
    <w:p w14:paraId="3E45C32F" w14:textId="1E92DF3A" w:rsidR="00277D52" w:rsidRPr="00277D52" w:rsidRDefault="00277D52" w:rsidP="00277D52">
      <w:pPr>
        <w:rPr>
          <w:rFonts w:ascii="Arial" w:hAnsi="Arial" w:cs="Arial"/>
          <w:b/>
          <w:bCs/>
          <w:sz w:val="24"/>
          <w:szCs w:val="24"/>
          <w:lang w:val="en-US"/>
        </w:rPr>
      </w:pPr>
      <w:r w:rsidRPr="00277D52">
        <w:rPr>
          <w:rFonts w:ascii="Segoe UI Emoji" w:hAnsi="Segoe UI Emoji" w:cs="Segoe UI Emoji"/>
          <w:b/>
          <w:bCs/>
          <w:sz w:val="24"/>
          <w:szCs w:val="24"/>
        </w:rPr>
        <w:lastRenderedPageBreak/>
        <w:t>📚</w:t>
      </w:r>
      <w:r w:rsidRPr="00277D52">
        <w:rPr>
          <w:rFonts w:ascii="Arial" w:hAnsi="Arial" w:cs="Arial"/>
          <w:b/>
          <w:bCs/>
          <w:sz w:val="24"/>
          <w:szCs w:val="24"/>
          <w:lang w:val="en-US"/>
        </w:rPr>
        <w:t xml:space="preserve"> REFERENCIAS</w:t>
      </w:r>
    </w:p>
    <w:p w14:paraId="155DBF37" w14:textId="77777777" w:rsidR="00277D52" w:rsidRPr="00277D52" w:rsidRDefault="00277D52" w:rsidP="00277D52">
      <w:pPr>
        <w:rPr>
          <w:rFonts w:ascii="Arial" w:hAnsi="Arial" w:cs="Arial"/>
          <w:sz w:val="24"/>
          <w:szCs w:val="24"/>
          <w:lang w:val="en-US"/>
        </w:rPr>
      </w:pPr>
      <w:r w:rsidRPr="00277D52">
        <w:rPr>
          <w:rFonts w:ascii="Arial" w:hAnsi="Arial" w:cs="Arial"/>
          <w:sz w:val="24"/>
          <w:szCs w:val="24"/>
          <w:lang w:val="en-US"/>
        </w:rPr>
        <w:t xml:space="preserve">[1] A. Deaton, </w:t>
      </w:r>
      <w:r w:rsidRPr="00277D52">
        <w:rPr>
          <w:rFonts w:ascii="Arial" w:hAnsi="Arial" w:cs="Arial"/>
          <w:i/>
          <w:iCs/>
          <w:sz w:val="24"/>
          <w:szCs w:val="24"/>
          <w:lang w:val="en-US"/>
        </w:rPr>
        <w:t>The Analysis of Household Surveys: A Microeconometric Approach to Development Policy</w:t>
      </w:r>
      <w:r w:rsidRPr="00277D52">
        <w:rPr>
          <w:rFonts w:ascii="Arial" w:hAnsi="Arial" w:cs="Arial"/>
          <w:sz w:val="24"/>
          <w:szCs w:val="24"/>
          <w:lang w:val="en-US"/>
        </w:rPr>
        <w:t xml:space="preserve">. Washington, DC, USA: World Bank, 1997. [Online]. Available: </w:t>
      </w:r>
      <w:hyperlink r:id="rId5" w:history="1">
        <w:r w:rsidRPr="00277D52">
          <w:rPr>
            <w:rStyle w:val="Hipervnculo"/>
            <w:rFonts w:ascii="Arial" w:hAnsi="Arial" w:cs="Arial"/>
            <w:sz w:val="24"/>
            <w:szCs w:val="24"/>
            <w:lang w:val="en-US"/>
          </w:rPr>
          <w:t>https://documents.worldbank.org/en/publication/documents-reports/documentdetail/593871468777303124</w:t>
        </w:r>
      </w:hyperlink>
    </w:p>
    <w:p w14:paraId="487D4BFD"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5A363FA5">
          <v:rect id="_x0000_i1035" style="width:0;height:1.5pt" o:hralign="center" o:hrstd="t" o:hr="t" fillcolor="#a0a0a0" stroked="f"/>
        </w:pict>
      </w:r>
    </w:p>
    <w:p w14:paraId="09D90CCB" w14:textId="77777777" w:rsidR="00277D52" w:rsidRPr="00277D52" w:rsidRDefault="00277D52" w:rsidP="00277D52">
      <w:pPr>
        <w:rPr>
          <w:rFonts w:ascii="Arial" w:hAnsi="Arial" w:cs="Arial"/>
          <w:sz w:val="24"/>
          <w:szCs w:val="24"/>
        </w:rPr>
      </w:pPr>
      <w:r w:rsidRPr="00277D52">
        <w:rPr>
          <w:rFonts w:ascii="Arial" w:hAnsi="Arial" w:cs="Arial"/>
          <w:sz w:val="24"/>
          <w:szCs w:val="24"/>
          <w:lang w:val="en-US"/>
        </w:rPr>
        <w:t xml:space="preserve">[2] C. Elbers, J. O. Lanjouw and P. Lanjouw, “Micro-level estimation of poverty and inequality,” </w:t>
      </w:r>
      <w:r w:rsidRPr="00277D52">
        <w:rPr>
          <w:rFonts w:ascii="Arial" w:hAnsi="Arial" w:cs="Arial"/>
          <w:i/>
          <w:iCs/>
          <w:sz w:val="24"/>
          <w:szCs w:val="24"/>
          <w:lang w:val="en-US"/>
        </w:rPr>
        <w:t>Econometrica</w:t>
      </w:r>
      <w:r w:rsidRPr="00277D52">
        <w:rPr>
          <w:rFonts w:ascii="Arial" w:hAnsi="Arial" w:cs="Arial"/>
          <w:sz w:val="24"/>
          <w:szCs w:val="24"/>
          <w:lang w:val="en-US"/>
        </w:rPr>
        <w:t xml:space="preserve">, vol. 71, no. 1, pp. 355–364, 2003. </w:t>
      </w:r>
      <w:r w:rsidRPr="00277D52">
        <w:rPr>
          <w:rFonts w:ascii="Arial" w:hAnsi="Arial" w:cs="Arial"/>
          <w:sz w:val="24"/>
          <w:szCs w:val="24"/>
        </w:rPr>
        <w:t xml:space="preserve">[Online]. Available: </w:t>
      </w:r>
      <w:hyperlink r:id="rId6" w:history="1">
        <w:r w:rsidRPr="00277D52">
          <w:rPr>
            <w:rStyle w:val="Hipervnculo"/>
            <w:rFonts w:ascii="Arial" w:hAnsi="Arial" w:cs="Arial"/>
            <w:sz w:val="24"/>
            <w:szCs w:val="24"/>
          </w:rPr>
          <w:t>https://doi.org/10.1111/1468-0262.00399</w:t>
        </w:r>
      </w:hyperlink>
    </w:p>
    <w:p w14:paraId="66CC8017"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6E348564">
          <v:rect id="_x0000_i1036" style="width:0;height:1.5pt" o:hralign="center" o:hrstd="t" o:hr="t" fillcolor="#a0a0a0" stroked="f"/>
        </w:pict>
      </w:r>
    </w:p>
    <w:p w14:paraId="4E5AE2F9" w14:textId="77777777" w:rsidR="00277D52" w:rsidRPr="00277D52" w:rsidRDefault="00277D52" w:rsidP="00277D52">
      <w:pPr>
        <w:rPr>
          <w:rFonts w:ascii="Arial" w:hAnsi="Arial" w:cs="Arial"/>
          <w:sz w:val="24"/>
          <w:szCs w:val="24"/>
          <w:lang w:val="en-US"/>
        </w:rPr>
      </w:pPr>
      <w:r w:rsidRPr="00277D52">
        <w:rPr>
          <w:rFonts w:ascii="Arial" w:hAnsi="Arial" w:cs="Arial"/>
          <w:sz w:val="24"/>
          <w:szCs w:val="24"/>
          <w:lang w:val="en-US"/>
        </w:rPr>
        <w:t xml:space="preserve">[3] J. Haughton and S. R. Khandker, </w:t>
      </w:r>
      <w:r w:rsidRPr="00277D52">
        <w:rPr>
          <w:rFonts w:ascii="Arial" w:hAnsi="Arial" w:cs="Arial"/>
          <w:i/>
          <w:iCs/>
          <w:sz w:val="24"/>
          <w:szCs w:val="24"/>
          <w:lang w:val="en-US"/>
        </w:rPr>
        <w:t>Handbook on Poverty and Inequality</w:t>
      </w:r>
      <w:r w:rsidRPr="00277D52">
        <w:rPr>
          <w:rFonts w:ascii="Arial" w:hAnsi="Arial" w:cs="Arial"/>
          <w:sz w:val="24"/>
          <w:szCs w:val="24"/>
          <w:lang w:val="en-US"/>
        </w:rPr>
        <w:t xml:space="preserve">. Washington, DC, USA: World Bank, 2009. [Online]. Available: </w:t>
      </w:r>
      <w:hyperlink r:id="rId7" w:history="1">
        <w:r w:rsidRPr="00277D52">
          <w:rPr>
            <w:rStyle w:val="Hipervnculo"/>
            <w:rFonts w:ascii="Arial" w:hAnsi="Arial" w:cs="Arial"/>
            <w:sz w:val="24"/>
            <w:szCs w:val="24"/>
            <w:lang w:val="en-US"/>
          </w:rPr>
          <w:t>https://openknowledge.worldbank.org/handle/10986/11985</w:t>
        </w:r>
      </w:hyperlink>
    </w:p>
    <w:p w14:paraId="0FC24486"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6FEE2F1B">
          <v:rect id="_x0000_i1037" style="width:0;height:1.5pt" o:hralign="center" o:hrstd="t" o:hr="t" fillcolor="#a0a0a0" stroked="f"/>
        </w:pict>
      </w:r>
    </w:p>
    <w:p w14:paraId="2ACB88E5" w14:textId="77777777" w:rsidR="00277D52" w:rsidRPr="00277D52" w:rsidRDefault="00277D52" w:rsidP="00277D52">
      <w:pPr>
        <w:rPr>
          <w:rFonts w:ascii="Arial" w:hAnsi="Arial" w:cs="Arial"/>
          <w:sz w:val="24"/>
          <w:szCs w:val="24"/>
        </w:rPr>
      </w:pPr>
      <w:r w:rsidRPr="00277D52">
        <w:rPr>
          <w:rFonts w:ascii="Arial" w:hAnsi="Arial" w:cs="Arial"/>
          <w:sz w:val="24"/>
          <w:szCs w:val="24"/>
          <w:lang w:val="en-US"/>
        </w:rPr>
        <w:t xml:space="preserve">[4] A. Sen, </w:t>
      </w:r>
      <w:r w:rsidRPr="00277D52">
        <w:rPr>
          <w:rFonts w:ascii="Arial" w:hAnsi="Arial" w:cs="Arial"/>
          <w:i/>
          <w:iCs/>
          <w:sz w:val="24"/>
          <w:szCs w:val="24"/>
          <w:lang w:val="en-US"/>
        </w:rPr>
        <w:t>Development as Freedom</w:t>
      </w:r>
      <w:r w:rsidRPr="00277D52">
        <w:rPr>
          <w:rFonts w:ascii="Arial" w:hAnsi="Arial" w:cs="Arial"/>
          <w:sz w:val="24"/>
          <w:szCs w:val="24"/>
          <w:lang w:val="en-US"/>
        </w:rPr>
        <w:t xml:space="preserve">. New York, NY, USA: Oxford University Press, 1999. </w:t>
      </w:r>
      <w:r w:rsidRPr="00277D52">
        <w:rPr>
          <w:rFonts w:ascii="Arial" w:hAnsi="Arial" w:cs="Arial"/>
          <w:sz w:val="24"/>
          <w:szCs w:val="24"/>
        </w:rPr>
        <w:t xml:space="preserve">[Online]. Available: </w:t>
      </w:r>
      <w:hyperlink r:id="rId8" w:history="1">
        <w:r w:rsidRPr="00277D52">
          <w:rPr>
            <w:rStyle w:val="Hipervnculo"/>
            <w:rFonts w:ascii="Arial" w:hAnsi="Arial" w:cs="Arial"/>
            <w:sz w:val="24"/>
            <w:szCs w:val="24"/>
          </w:rPr>
          <w:t>https://books.google.com/books?id=Qm8pB3Yb3Z0C</w:t>
        </w:r>
      </w:hyperlink>
    </w:p>
    <w:p w14:paraId="5D4F8637"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1F9220A9">
          <v:rect id="_x0000_i1038" style="width:0;height:1.5pt" o:hralign="center" o:hrstd="t" o:hr="t" fillcolor="#a0a0a0" stroked="f"/>
        </w:pict>
      </w:r>
    </w:p>
    <w:p w14:paraId="4EDCE1B1" w14:textId="77777777" w:rsidR="00277D52" w:rsidRPr="00277D52" w:rsidRDefault="00277D52" w:rsidP="00277D52">
      <w:pPr>
        <w:rPr>
          <w:rFonts w:ascii="Arial" w:hAnsi="Arial" w:cs="Arial"/>
          <w:sz w:val="24"/>
          <w:szCs w:val="24"/>
        </w:rPr>
      </w:pPr>
      <w:r w:rsidRPr="00277D52">
        <w:rPr>
          <w:rFonts w:ascii="Arial" w:hAnsi="Arial" w:cs="Arial"/>
          <w:sz w:val="24"/>
          <w:szCs w:val="24"/>
          <w:lang w:val="en-US"/>
        </w:rPr>
        <w:t xml:space="preserve">[5] L. Anselin, </w:t>
      </w:r>
      <w:r w:rsidRPr="00277D52">
        <w:rPr>
          <w:rFonts w:ascii="Arial" w:hAnsi="Arial" w:cs="Arial"/>
          <w:i/>
          <w:iCs/>
          <w:sz w:val="24"/>
          <w:szCs w:val="24"/>
          <w:lang w:val="en-US"/>
        </w:rPr>
        <w:t>Spatial Econometrics: Methods and Models</w:t>
      </w:r>
      <w:r w:rsidRPr="00277D52">
        <w:rPr>
          <w:rFonts w:ascii="Arial" w:hAnsi="Arial" w:cs="Arial"/>
          <w:sz w:val="24"/>
          <w:szCs w:val="24"/>
          <w:lang w:val="en-US"/>
        </w:rPr>
        <w:t xml:space="preserve">. Dordrecht, Netherlands: Kluwer Academic Publishers, 1988. </w:t>
      </w:r>
      <w:r w:rsidRPr="00277D52">
        <w:rPr>
          <w:rFonts w:ascii="Arial" w:hAnsi="Arial" w:cs="Arial"/>
          <w:sz w:val="24"/>
          <w:szCs w:val="24"/>
        </w:rPr>
        <w:t xml:space="preserve">[Online]. Available: </w:t>
      </w:r>
      <w:hyperlink r:id="rId9" w:history="1">
        <w:r w:rsidRPr="00277D52">
          <w:rPr>
            <w:rStyle w:val="Hipervnculo"/>
            <w:rFonts w:ascii="Arial" w:hAnsi="Arial" w:cs="Arial"/>
            <w:sz w:val="24"/>
            <w:szCs w:val="24"/>
          </w:rPr>
          <w:t>https://doi.org/10.1007/978-94-015-7799-1</w:t>
        </w:r>
      </w:hyperlink>
    </w:p>
    <w:p w14:paraId="0ACB2ADB"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43FBC4FE">
          <v:rect id="_x0000_i1039" style="width:0;height:1.5pt" o:hralign="center" o:hrstd="t" o:hr="t" fillcolor="#a0a0a0" stroked="f"/>
        </w:pict>
      </w:r>
    </w:p>
    <w:p w14:paraId="2F37C816" w14:textId="77777777" w:rsidR="00277D52" w:rsidRPr="00277D52" w:rsidRDefault="00277D52" w:rsidP="00277D52">
      <w:pPr>
        <w:rPr>
          <w:rFonts w:ascii="Arial" w:hAnsi="Arial" w:cs="Arial"/>
          <w:sz w:val="24"/>
          <w:szCs w:val="24"/>
        </w:rPr>
      </w:pPr>
      <w:r w:rsidRPr="00277D52">
        <w:rPr>
          <w:rFonts w:ascii="Arial" w:hAnsi="Arial" w:cs="Arial"/>
          <w:sz w:val="24"/>
          <w:szCs w:val="24"/>
          <w:lang w:val="en-US"/>
        </w:rPr>
        <w:t xml:space="preserve">[6] W. Tobler, “A computer movie simulating urban growth in the Detroit region,” </w:t>
      </w:r>
      <w:r w:rsidRPr="00277D52">
        <w:rPr>
          <w:rFonts w:ascii="Arial" w:hAnsi="Arial" w:cs="Arial"/>
          <w:i/>
          <w:iCs/>
          <w:sz w:val="24"/>
          <w:szCs w:val="24"/>
          <w:lang w:val="en-US"/>
        </w:rPr>
        <w:t>Economic Geography</w:t>
      </w:r>
      <w:r w:rsidRPr="00277D52">
        <w:rPr>
          <w:rFonts w:ascii="Arial" w:hAnsi="Arial" w:cs="Arial"/>
          <w:sz w:val="24"/>
          <w:szCs w:val="24"/>
          <w:lang w:val="en-US"/>
        </w:rPr>
        <w:t xml:space="preserve">, vol. 46, pp. 234–240, 1970. </w:t>
      </w:r>
      <w:r w:rsidRPr="00277D52">
        <w:rPr>
          <w:rFonts w:ascii="Arial" w:hAnsi="Arial" w:cs="Arial"/>
          <w:sz w:val="24"/>
          <w:szCs w:val="24"/>
        </w:rPr>
        <w:t xml:space="preserve">[Online]. Available: </w:t>
      </w:r>
      <w:hyperlink r:id="rId10" w:history="1">
        <w:r w:rsidRPr="00277D52">
          <w:rPr>
            <w:rStyle w:val="Hipervnculo"/>
            <w:rFonts w:ascii="Arial" w:hAnsi="Arial" w:cs="Arial"/>
            <w:sz w:val="24"/>
            <w:szCs w:val="24"/>
          </w:rPr>
          <w:t>https://doi.org/10.2307/143141</w:t>
        </w:r>
      </w:hyperlink>
    </w:p>
    <w:p w14:paraId="0A03B422"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2CC116B2">
          <v:rect id="_x0000_i1040" style="width:0;height:1.5pt" o:hralign="center" o:hrstd="t" o:hr="t" fillcolor="#a0a0a0" stroked="f"/>
        </w:pict>
      </w:r>
    </w:p>
    <w:p w14:paraId="4B224269" w14:textId="77777777" w:rsidR="00277D52" w:rsidRPr="00277D52" w:rsidRDefault="00277D52" w:rsidP="00277D52">
      <w:pPr>
        <w:rPr>
          <w:rFonts w:ascii="Arial" w:hAnsi="Arial" w:cs="Arial"/>
          <w:sz w:val="24"/>
          <w:szCs w:val="24"/>
        </w:rPr>
      </w:pPr>
      <w:r w:rsidRPr="00277D52">
        <w:rPr>
          <w:rFonts w:ascii="Arial" w:hAnsi="Arial" w:cs="Arial"/>
          <w:sz w:val="24"/>
          <w:szCs w:val="24"/>
          <w:lang w:val="en-US"/>
        </w:rPr>
        <w:t xml:space="preserve">[7] D. S. Massey and N. A. Denton, “The dimensions of residential segregation,” </w:t>
      </w:r>
      <w:r w:rsidRPr="00277D52">
        <w:rPr>
          <w:rFonts w:ascii="Arial" w:hAnsi="Arial" w:cs="Arial"/>
          <w:i/>
          <w:iCs/>
          <w:sz w:val="24"/>
          <w:szCs w:val="24"/>
          <w:lang w:val="en-US"/>
        </w:rPr>
        <w:t>Social Forces</w:t>
      </w:r>
      <w:r w:rsidRPr="00277D52">
        <w:rPr>
          <w:rFonts w:ascii="Arial" w:hAnsi="Arial" w:cs="Arial"/>
          <w:sz w:val="24"/>
          <w:szCs w:val="24"/>
          <w:lang w:val="en-US"/>
        </w:rPr>
        <w:t xml:space="preserve">, vol. 67, no. 2, pp. 281–315, 1988. </w:t>
      </w:r>
      <w:r w:rsidRPr="00277D52">
        <w:rPr>
          <w:rFonts w:ascii="Arial" w:hAnsi="Arial" w:cs="Arial"/>
          <w:sz w:val="24"/>
          <w:szCs w:val="24"/>
        </w:rPr>
        <w:t xml:space="preserve">[Online]. Available: </w:t>
      </w:r>
      <w:hyperlink r:id="rId11" w:history="1">
        <w:r w:rsidRPr="00277D52">
          <w:rPr>
            <w:rStyle w:val="Hipervnculo"/>
            <w:rFonts w:ascii="Arial" w:hAnsi="Arial" w:cs="Arial"/>
            <w:sz w:val="24"/>
            <w:szCs w:val="24"/>
          </w:rPr>
          <w:t>https://doi.org/10.2307/3640463</w:t>
        </w:r>
      </w:hyperlink>
    </w:p>
    <w:p w14:paraId="7C5A899C"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06907D04">
          <v:rect id="_x0000_i1041" style="width:0;height:1.5pt" o:hralign="center" o:hrstd="t" o:hr="t" fillcolor="#a0a0a0" stroked="f"/>
        </w:pict>
      </w:r>
    </w:p>
    <w:p w14:paraId="385E3336" w14:textId="77777777" w:rsidR="00277D52" w:rsidRPr="00277D52" w:rsidRDefault="00277D52" w:rsidP="00277D52">
      <w:pPr>
        <w:rPr>
          <w:rFonts w:ascii="Arial" w:hAnsi="Arial" w:cs="Arial"/>
          <w:sz w:val="24"/>
          <w:szCs w:val="24"/>
        </w:rPr>
      </w:pPr>
      <w:r w:rsidRPr="00277D52">
        <w:rPr>
          <w:rFonts w:ascii="Arial" w:hAnsi="Arial" w:cs="Arial"/>
          <w:sz w:val="24"/>
          <w:szCs w:val="24"/>
        </w:rPr>
        <w:t xml:space="preserve">[8] F. Sabatini, “La segregación social del espacio urbano en América Latina,” </w:t>
      </w:r>
      <w:r w:rsidRPr="00277D52">
        <w:rPr>
          <w:rFonts w:ascii="Arial" w:hAnsi="Arial" w:cs="Arial"/>
          <w:i/>
          <w:iCs/>
          <w:sz w:val="24"/>
          <w:szCs w:val="24"/>
        </w:rPr>
        <w:t>CEPAL</w:t>
      </w:r>
      <w:r w:rsidRPr="00277D52">
        <w:rPr>
          <w:rFonts w:ascii="Arial" w:hAnsi="Arial" w:cs="Arial"/>
          <w:sz w:val="24"/>
          <w:szCs w:val="24"/>
        </w:rPr>
        <w:t xml:space="preserve">, Santiago de Chile, 2006. [Online]. Available: </w:t>
      </w:r>
      <w:hyperlink r:id="rId12" w:history="1">
        <w:r w:rsidRPr="00277D52">
          <w:rPr>
            <w:rStyle w:val="Hipervnculo"/>
            <w:rFonts w:ascii="Arial" w:hAnsi="Arial" w:cs="Arial"/>
            <w:sz w:val="24"/>
            <w:szCs w:val="24"/>
          </w:rPr>
          <w:t>https://repositorio.cepal.org/handle/11362/5664</w:t>
        </w:r>
      </w:hyperlink>
    </w:p>
    <w:p w14:paraId="10DF7D1B"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7018A777">
          <v:rect id="_x0000_i1042" style="width:0;height:1.5pt" o:hralign="center" o:hrstd="t" o:hr="t" fillcolor="#a0a0a0" stroked="f"/>
        </w:pict>
      </w:r>
    </w:p>
    <w:p w14:paraId="68CF2A28" w14:textId="77777777" w:rsidR="00277D52" w:rsidRPr="00277D52" w:rsidRDefault="00277D52" w:rsidP="00277D52">
      <w:pPr>
        <w:rPr>
          <w:rFonts w:ascii="Arial" w:hAnsi="Arial" w:cs="Arial"/>
          <w:sz w:val="24"/>
          <w:szCs w:val="24"/>
          <w:lang w:val="en-US"/>
        </w:rPr>
      </w:pPr>
      <w:r w:rsidRPr="00277D52">
        <w:rPr>
          <w:rFonts w:ascii="Arial" w:hAnsi="Arial" w:cs="Arial"/>
          <w:sz w:val="24"/>
          <w:szCs w:val="24"/>
        </w:rPr>
        <w:lastRenderedPageBreak/>
        <w:t xml:space="preserve">[9] Departamento Administrativo Nacional de Estadística (DANE), </w:t>
      </w:r>
      <w:r w:rsidRPr="00277D52">
        <w:rPr>
          <w:rFonts w:ascii="Arial" w:hAnsi="Arial" w:cs="Arial"/>
          <w:i/>
          <w:iCs/>
          <w:sz w:val="24"/>
          <w:szCs w:val="24"/>
        </w:rPr>
        <w:t>Censo Nacional de Población y Vivienda 2018 – Metodología</w:t>
      </w:r>
      <w:r w:rsidRPr="00277D52">
        <w:rPr>
          <w:rFonts w:ascii="Arial" w:hAnsi="Arial" w:cs="Arial"/>
          <w:sz w:val="24"/>
          <w:szCs w:val="24"/>
        </w:rPr>
        <w:t xml:space="preserve">, Bogotá, Colombia, 2019. </w:t>
      </w:r>
      <w:r w:rsidRPr="00277D52">
        <w:rPr>
          <w:rFonts w:ascii="Arial" w:hAnsi="Arial" w:cs="Arial"/>
          <w:sz w:val="24"/>
          <w:szCs w:val="24"/>
          <w:lang w:val="en-US"/>
        </w:rPr>
        <w:t xml:space="preserve">[Online]. Available: </w:t>
      </w:r>
      <w:hyperlink r:id="rId13" w:history="1">
        <w:r w:rsidRPr="00277D52">
          <w:rPr>
            <w:rStyle w:val="Hipervnculo"/>
            <w:rFonts w:ascii="Arial" w:hAnsi="Arial" w:cs="Arial"/>
            <w:sz w:val="24"/>
            <w:szCs w:val="24"/>
            <w:lang w:val="en-US"/>
          </w:rPr>
          <w:t>https://www.dane.gov.co/files/censo2018/documentos/metodologia-cnpv-2018.pdf</w:t>
        </w:r>
      </w:hyperlink>
    </w:p>
    <w:p w14:paraId="6E9126F5"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7CDD7617">
          <v:rect id="_x0000_i1043" style="width:0;height:1.5pt" o:hralign="center" o:hrstd="t" o:hr="t" fillcolor="#a0a0a0" stroked="f"/>
        </w:pict>
      </w:r>
    </w:p>
    <w:p w14:paraId="51906A75" w14:textId="77777777" w:rsidR="00277D52" w:rsidRPr="00277D52" w:rsidRDefault="00277D52" w:rsidP="00277D52">
      <w:pPr>
        <w:rPr>
          <w:rFonts w:ascii="Arial" w:hAnsi="Arial" w:cs="Arial"/>
          <w:sz w:val="24"/>
          <w:szCs w:val="24"/>
          <w:lang w:val="en-US"/>
        </w:rPr>
      </w:pPr>
      <w:r w:rsidRPr="00277D52">
        <w:rPr>
          <w:rFonts w:ascii="Arial" w:hAnsi="Arial" w:cs="Arial"/>
          <w:sz w:val="24"/>
          <w:szCs w:val="24"/>
          <w:lang w:val="en-US"/>
        </w:rPr>
        <w:t xml:space="preserve">[10] United Nations, </w:t>
      </w:r>
      <w:r w:rsidRPr="00277D52">
        <w:rPr>
          <w:rFonts w:ascii="Arial" w:hAnsi="Arial" w:cs="Arial"/>
          <w:i/>
          <w:iCs/>
          <w:sz w:val="24"/>
          <w:szCs w:val="24"/>
          <w:lang w:val="en-US"/>
        </w:rPr>
        <w:t>Principles and Recommendations for Population and Housing Censuses</w:t>
      </w:r>
      <w:r w:rsidRPr="00277D52">
        <w:rPr>
          <w:rFonts w:ascii="Arial" w:hAnsi="Arial" w:cs="Arial"/>
          <w:sz w:val="24"/>
          <w:szCs w:val="24"/>
          <w:lang w:val="en-US"/>
        </w:rPr>
        <w:t xml:space="preserve">, Rev. 3, New York, USA, 2017. [Online]. Available: </w:t>
      </w:r>
      <w:hyperlink r:id="rId14" w:history="1">
        <w:r w:rsidRPr="00277D52">
          <w:rPr>
            <w:rStyle w:val="Hipervnculo"/>
            <w:rFonts w:ascii="Arial" w:hAnsi="Arial" w:cs="Arial"/>
            <w:sz w:val="24"/>
            <w:szCs w:val="24"/>
            <w:lang w:val="en-US"/>
          </w:rPr>
          <w:t>https://unstats.un.org/unsd/publication/seriesM/Series_M67rev3en.pdf</w:t>
        </w:r>
      </w:hyperlink>
    </w:p>
    <w:p w14:paraId="2C50E23F"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570845EB">
          <v:rect id="_x0000_i1044" style="width:0;height:1.5pt" o:hralign="center" o:hrstd="t" o:hr="t" fillcolor="#a0a0a0" stroked="f"/>
        </w:pict>
      </w:r>
    </w:p>
    <w:p w14:paraId="36045943" w14:textId="77777777" w:rsidR="00277D52" w:rsidRPr="00277D52" w:rsidRDefault="00277D52" w:rsidP="00277D52">
      <w:pPr>
        <w:rPr>
          <w:rFonts w:ascii="Arial" w:hAnsi="Arial" w:cs="Arial"/>
          <w:sz w:val="24"/>
          <w:szCs w:val="24"/>
        </w:rPr>
      </w:pPr>
      <w:r w:rsidRPr="00277D52">
        <w:rPr>
          <w:rFonts w:ascii="Arial" w:hAnsi="Arial" w:cs="Arial"/>
          <w:sz w:val="24"/>
          <w:szCs w:val="24"/>
          <w:lang w:val="en-US"/>
        </w:rPr>
        <w:t xml:space="preserve">[11] H. Wickham, “Tidy data,” </w:t>
      </w:r>
      <w:r w:rsidRPr="00277D52">
        <w:rPr>
          <w:rFonts w:ascii="Arial" w:hAnsi="Arial" w:cs="Arial"/>
          <w:i/>
          <w:iCs/>
          <w:sz w:val="24"/>
          <w:szCs w:val="24"/>
          <w:lang w:val="en-US"/>
        </w:rPr>
        <w:t>Journal of Statistical Software</w:t>
      </w:r>
      <w:r w:rsidRPr="00277D52">
        <w:rPr>
          <w:rFonts w:ascii="Arial" w:hAnsi="Arial" w:cs="Arial"/>
          <w:sz w:val="24"/>
          <w:szCs w:val="24"/>
          <w:lang w:val="en-US"/>
        </w:rPr>
        <w:t xml:space="preserve">, vol. 59, no. 10, pp. 1–23, 2014. </w:t>
      </w:r>
      <w:r w:rsidRPr="00277D52">
        <w:rPr>
          <w:rFonts w:ascii="Arial" w:hAnsi="Arial" w:cs="Arial"/>
          <w:sz w:val="24"/>
          <w:szCs w:val="24"/>
        </w:rPr>
        <w:t xml:space="preserve">[Online]. Available: </w:t>
      </w:r>
      <w:hyperlink r:id="rId15" w:history="1">
        <w:r w:rsidRPr="00277D52">
          <w:rPr>
            <w:rStyle w:val="Hipervnculo"/>
            <w:rFonts w:ascii="Arial" w:hAnsi="Arial" w:cs="Arial"/>
            <w:sz w:val="24"/>
            <w:szCs w:val="24"/>
          </w:rPr>
          <w:t>https://doi.org/10.18637/jss.v059.i10</w:t>
        </w:r>
      </w:hyperlink>
    </w:p>
    <w:p w14:paraId="5FE13907" w14:textId="77777777" w:rsidR="00277D52" w:rsidRPr="00277D52" w:rsidRDefault="00277D52" w:rsidP="00277D52">
      <w:pPr>
        <w:rPr>
          <w:rFonts w:ascii="Arial" w:hAnsi="Arial" w:cs="Arial"/>
          <w:sz w:val="24"/>
          <w:szCs w:val="24"/>
        </w:rPr>
      </w:pPr>
      <w:r w:rsidRPr="00277D52">
        <w:rPr>
          <w:rFonts w:ascii="Arial" w:hAnsi="Arial" w:cs="Arial"/>
          <w:sz w:val="24"/>
          <w:szCs w:val="24"/>
        </w:rPr>
        <w:pict w14:anchorId="736F220F">
          <v:rect id="_x0000_i1045" style="width:0;height:1.5pt" o:hralign="center" o:hrstd="t" o:hr="t" fillcolor="#a0a0a0" stroked="f"/>
        </w:pict>
      </w:r>
    </w:p>
    <w:p w14:paraId="5E55ABA4" w14:textId="77777777" w:rsidR="00277D52" w:rsidRPr="00277D52" w:rsidRDefault="00277D52" w:rsidP="00277D52">
      <w:pPr>
        <w:rPr>
          <w:rFonts w:ascii="Arial" w:hAnsi="Arial" w:cs="Arial"/>
          <w:sz w:val="24"/>
          <w:szCs w:val="24"/>
        </w:rPr>
      </w:pPr>
      <w:r w:rsidRPr="00277D52">
        <w:rPr>
          <w:rFonts w:ascii="Arial" w:hAnsi="Arial" w:cs="Arial"/>
          <w:sz w:val="24"/>
          <w:szCs w:val="24"/>
          <w:lang w:val="en-US"/>
        </w:rPr>
        <w:t xml:space="preserve">[12] C. Batini and M. Scannapieco, </w:t>
      </w:r>
      <w:r w:rsidRPr="00277D52">
        <w:rPr>
          <w:rFonts w:ascii="Arial" w:hAnsi="Arial" w:cs="Arial"/>
          <w:i/>
          <w:iCs/>
          <w:sz w:val="24"/>
          <w:szCs w:val="24"/>
          <w:lang w:val="en-US"/>
        </w:rPr>
        <w:t>Data and Information Quality: Dimensions, Principles and Techniques</w:t>
      </w:r>
      <w:r w:rsidRPr="00277D52">
        <w:rPr>
          <w:rFonts w:ascii="Arial" w:hAnsi="Arial" w:cs="Arial"/>
          <w:sz w:val="24"/>
          <w:szCs w:val="24"/>
          <w:lang w:val="en-US"/>
        </w:rPr>
        <w:t xml:space="preserve">. </w:t>
      </w:r>
      <w:r w:rsidRPr="00277D52">
        <w:rPr>
          <w:rFonts w:ascii="Arial" w:hAnsi="Arial" w:cs="Arial"/>
          <w:sz w:val="24"/>
          <w:szCs w:val="24"/>
        </w:rPr>
        <w:t xml:space="preserve">Cham, Switzerland: Springer, 2016. [Online]. Available: </w:t>
      </w:r>
      <w:hyperlink r:id="rId16" w:history="1">
        <w:r w:rsidRPr="00277D52">
          <w:rPr>
            <w:rStyle w:val="Hipervnculo"/>
            <w:rFonts w:ascii="Arial" w:hAnsi="Arial" w:cs="Arial"/>
            <w:sz w:val="24"/>
            <w:szCs w:val="24"/>
          </w:rPr>
          <w:t>https://doi.org/10.1007/978-3-319-24106-7</w:t>
        </w:r>
      </w:hyperlink>
    </w:p>
    <w:p w14:paraId="3781FE6F" w14:textId="11EBAE30" w:rsidR="00277D52" w:rsidRPr="00C06547" w:rsidRDefault="00277D52">
      <w:pPr>
        <w:rPr>
          <w:rFonts w:ascii="Arial" w:hAnsi="Arial" w:cs="Arial"/>
          <w:sz w:val="24"/>
          <w:szCs w:val="24"/>
        </w:rPr>
      </w:pPr>
    </w:p>
    <w:sectPr w:rsidR="00277D52" w:rsidRPr="00C065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6267"/>
    <w:multiLevelType w:val="multilevel"/>
    <w:tmpl w:val="8EC2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A7A94"/>
    <w:multiLevelType w:val="multilevel"/>
    <w:tmpl w:val="A8C4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B52D8"/>
    <w:multiLevelType w:val="multilevel"/>
    <w:tmpl w:val="BCD0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E7B3C"/>
    <w:multiLevelType w:val="multilevel"/>
    <w:tmpl w:val="DD5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C1E63"/>
    <w:multiLevelType w:val="multilevel"/>
    <w:tmpl w:val="D06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A2523"/>
    <w:multiLevelType w:val="multilevel"/>
    <w:tmpl w:val="E6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203866">
    <w:abstractNumId w:val="5"/>
  </w:num>
  <w:num w:numId="2" w16cid:durableId="1935816635">
    <w:abstractNumId w:val="0"/>
  </w:num>
  <w:num w:numId="3" w16cid:durableId="1610161076">
    <w:abstractNumId w:val="3"/>
  </w:num>
  <w:num w:numId="4" w16cid:durableId="1265575924">
    <w:abstractNumId w:val="2"/>
  </w:num>
  <w:num w:numId="5" w16cid:durableId="863714913">
    <w:abstractNumId w:val="4"/>
  </w:num>
  <w:num w:numId="6" w16cid:durableId="115494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47"/>
    <w:rsid w:val="000C67E1"/>
    <w:rsid w:val="00277D52"/>
    <w:rsid w:val="00340A57"/>
    <w:rsid w:val="00386675"/>
    <w:rsid w:val="003F4D65"/>
    <w:rsid w:val="00622F8A"/>
    <w:rsid w:val="00694541"/>
    <w:rsid w:val="00B00C3F"/>
    <w:rsid w:val="00C06547"/>
    <w:rsid w:val="00CC27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346A"/>
  <w15:chartTrackingRefBased/>
  <w15:docId w15:val="{96461CDE-C0F2-49FC-8A8E-2646B8EC2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6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65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65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5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5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5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5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5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5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65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65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65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5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5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5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5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547"/>
    <w:rPr>
      <w:rFonts w:eastAsiaTheme="majorEastAsia" w:cstheme="majorBidi"/>
      <w:color w:val="272727" w:themeColor="text1" w:themeTint="D8"/>
    </w:rPr>
  </w:style>
  <w:style w:type="paragraph" w:styleId="Ttulo">
    <w:name w:val="Title"/>
    <w:basedOn w:val="Normal"/>
    <w:next w:val="Normal"/>
    <w:link w:val="TtuloCar"/>
    <w:uiPriority w:val="10"/>
    <w:qFormat/>
    <w:rsid w:val="00C06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5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5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5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547"/>
    <w:pPr>
      <w:spacing w:before="160"/>
      <w:jc w:val="center"/>
    </w:pPr>
    <w:rPr>
      <w:i/>
      <w:iCs/>
      <w:color w:val="404040" w:themeColor="text1" w:themeTint="BF"/>
    </w:rPr>
  </w:style>
  <w:style w:type="character" w:customStyle="1" w:styleId="CitaCar">
    <w:name w:val="Cita Car"/>
    <w:basedOn w:val="Fuentedeprrafopredeter"/>
    <w:link w:val="Cita"/>
    <w:uiPriority w:val="29"/>
    <w:rsid w:val="00C06547"/>
    <w:rPr>
      <w:i/>
      <w:iCs/>
      <w:color w:val="404040" w:themeColor="text1" w:themeTint="BF"/>
    </w:rPr>
  </w:style>
  <w:style w:type="paragraph" w:styleId="Prrafodelista">
    <w:name w:val="List Paragraph"/>
    <w:basedOn w:val="Normal"/>
    <w:uiPriority w:val="34"/>
    <w:qFormat/>
    <w:rsid w:val="00C06547"/>
    <w:pPr>
      <w:ind w:left="720"/>
      <w:contextualSpacing/>
    </w:pPr>
  </w:style>
  <w:style w:type="character" w:styleId="nfasisintenso">
    <w:name w:val="Intense Emphasis"/>
    <w:basedOn w:val="Fuentedeprrafopredeter"/>
    <w:uiPriority w:val="21"/>
    <w:qFormat/>
    <w:rsid w:val="00C06547"/>
    <w:rPr>
      <w:i/>
      <w:iCs/>
      <w:color w:val="0F4761" w:themeColor="accent1" w:themeShade="BF"/>
    </w:rPr>
  </w:style>
  <w:style w:type="paragraph" w:styleId="Citadestacada">
    <w:name w:val="Intense Quote"/>
    <w:basedOn w:val="Normal"/>
    <w:next w:val="Normal"/>
    <w:link w:val="CitadestacadaCar"/>
    <w:uiPriority w:val="30"/>
    <w:qFormat/>
    <w:rsid w:val="00C06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547"/>
    <w:rPr>
      <w:i/>
      <w:iCs/>
      <w:color w:val="0F4761" w:themeColor="accent1" w:themeShade="BF"/>
    </w:rPr>
  </w:style>
  <w:style w:type="character" w:styleId="Referenciaintensa">
    <w:name w:val="Intense Reference"/>
    <w:basedOn w:val="Fuentedeprrafopredeter"/>
    <w:uiPriority w:val="32"/>
    <w:qFormat/>
    <w:rsid w:val="00C06547"/>
    <w:rPr>
      <w:b/>
      <w:bCs/>
      <w:smallCaps/>
      <w:color w:val="0F4761" w:themeColor="accent1" w:themeShade="BF"/>
      <w:spacing w:val="5"/>
    </w:rPr>
  </w:style>
  <w:style w:type="character" w:styleId="Hipervnculo">
    <w:name w:val="Hyperlink"/>
    <w:basedOn w:val="Fuentedeprrafopredeter"/>
    <w:uiPriority w:val="99"/>
    <w:unhideWhenUsed/>
    <w:rsid w:val="00386675"/>
    <w:rPr>
      <w:color w:val="467886" w:themeColor="hyperlink"/>
      <w:u w:val="single"/>
    </w:rPr>
  </w:style>
  <w:style w:type="character" w:styleId="Mencinsinresolver">
    <w:name w:val="Unresolved Mention"/>
    <w:basedOn w:val="Fuentedeprrafopredeter"/>
    <w:uiPriority w:val="99"/>
    <w:semiHidden/>
    <w:unhideWhenUsed/>
    <w:rsid w:val="00386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Qm8pB3Yb3Z0C" TargetMode="External"/><Relationship Id="rId13" Type="http://schemas.openxmlformats.org/officeDocument/2006/relationships/hyperlink" Target="https://www.dane.gov.co/files/censo2018/documentos/metodologia-cnpv-2018.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knowledge.worldbank.org/handle/10986/11985" TargetMode="External"/><Relationship Id="rId12" Type="http://schemas.openxmlformats.org/officeDocument/2006/relationships/hyperlink" Target="https://repositorio.cepal.org/handle/11362/566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978-3-319-24106-7" TargetMode="External"/><Relationship Id="rId1" Type="http://schemas.openxmlformats.org/officeDocument/2006/relationships/numbering" Target="numbering.xml"/><Relationship Id="rId6" Type="http://schemas.openxmlformats.org/officeDocument/2006/relationships/hyperlink" Target="https://doi.org/10.1111/1468-0262.00399" TargetMode="External"/><Relationship Id="rId11" Type="http://schemas.openxmlformats.org/officeDocument/2006/relationships/hyperlink" Target="https://doi.org/10.2307/3640463" TargetMode="External"/><Relationship Id="rId5" Type="http://schemas.openxmlformats.org/officeDocument/2006/relationships/hyperlink" Target="https://documents.worldbank.org/en/publication/documents-reports/documentdetail/593871468777303124" TargetMode="External"/><Relationship Id="rId15" Type="http://schemas.openxmlformats.org/officeDocument/2006/relationships/hyperlink" Target="https://doi.org/10.18637/jss.v059.i10" TargetMode="External"/><Relationship Id="rId10" Type="http://schemas.openxmlformats.org/officeDocument/2006/relationships/hyperlink" Target="https://doi.org/10.2307/143141" TargetMode="External"/><Relationship Id="rId4" Type="http://schemas.openxmlformats.org/officeDocument/2006/relationships/webSettings" Target="webSettings.xml"/><Relationship Id="rId9" Type="http://schemas.openxmlformats.org/officeDocument/2006/relationships/hyperlink" Target="https://doi.org/10.1007/978-94-015-7799-1" TargetMode="External"/><Relationship Id="rId14" Type="http://schemas.openxmlformats.org/officeDocument/2006/relationships/hyperlink" Target="https://unstats.un.org/unsd/publication/seriesM/Series_M67rev3en.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2195</Words>
  <Characters>12075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Barrera</dc:creator>
  <cp:keywords/>
  <dc:description/>
  <cp:lastModifiedBy>Juan Felipe Barrera</cp:lastModifiedBy>
  <cp:revision>2</cp:revision>
  <dcterms:created xsi:type="dcterms:W3CDTF">2026-03-19T16:06:00Z</dcterms:created>
  <dcterms:modified xsi:type="dcterms:W3CDTF">2026-03-19T16:06:00Z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8da81fe7-573f-40df-9332-5eac0b49cd0f</vt:lpwstr>
  </property>
</Properties>
</file>