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sz w:val="24"/>
          <w:color w:val="000000"/>
        </w:rPr>
        <w:t>UNIVERSIDAD ICESI</w:t>
      </w:r>
    </w:p>
    <w:p>
      <w:pPr>
        <w:spacing w:after="40"/>
        <w:jc w:val="center"/>
      </w:pPr>
      <w:r>
        <w:rPr>
          <w:rFonts w:ascii="Arial" w:hAnsi="Arial" w:eastAsia="Arial" w:cs="Arial"/>
          <w:b w:val="0"/>
          <w:sz w:val="20"/>
          <w:color w:val="000000"/>
        </w:rPr>
        <w:t>Facultad Barberi de Ingeniería, Diseño y Ciencias Aplicadas</w:t>
      </w:r>
    </w:p>
    <w:p>
      <w:pPr>
        <w:spacing w:after="40"/>
        <w:jc w:val="center"/>
      </w:pPr>
      <w:r>
        <w:rPr>
          <w:rFonts w:ascii="Arial" w:hAnsi="Arial" w:eastAsia="Arial" w:cs="Arial"/>
          <w:b w:val="0"/>
          <w:sz w:val="20"/>
          <w:color w:val="000000"/>
        </w:rPr>
        <w:t>Ingeniería de Sistemas — Sistemas Intensivos de Datos</w:t>
      </w:r>
    </w:p>
    <w:p>
      <w:pPr>
        <w:spacing w:after="280"/>
        <w:jc w:val="center"/>
      </w:pPr>
      <w:r>
        <w:rPr>
          <w:rFonts w:ascii="Arial" w:hAnsi="Arial" w:eastAsia="Arial" w:cs="Arial"/>
          <w:b w:val="0"/>
          <w:sz w:val="20"/>
          <w:color w:val="000000"/>
        </w:rPr>
        <w:t>Docente: Mónica María Rojas Rincón</w:t>
      </w:r>
    </w:p>
    <w:p>
      <w:pPr>
        <w:spacing w:after="80"/>
        <w:jc w:val="center"/>
      </w:pPr>
      <w:r>
        <w:rPr>
          <w:rFonts w:ascii="Arial" w:hAnsi="Arial" w:eastAsia="Arial" w:cs="Arial"/>
          <w:b/>
          <w:sz w:val="30"/>
          <w:color w:val="000000"/>
        </w:rPr>
        <w:t>ACTA DE REUNIONES — ENTREGA 2</w:t>
      </w:r>
    </w:p>
    <w:p>
      <w:pPr>
        <w:spacing w:after="280"/>
        <w:jc w:val="center"/>
      </w:pPr>
      <w:r>
        <w:rPr>
          <w:rFonts w:ascii="Arial" w:hAnsi="Arial" w:eastAsia="Arial" w:cs="Arial"/>
          <w:b w:val="0"/>
          <w:sz w:val="22"/>
          <w:color w:val="000000"/>
        </w:rPr>
        <w:t>Proyecto: Sistema de Gestión de Inventario — Target Florida</w:t>
      </w:r>
    </w:p>
    <w:p>
      <w:pPr>
        <w:spacing w:after="80"/>
      </w:pPr>
      <w:r>
        <w:rPr>
          <w:rFonts w:ascii="Arial" w:hAnsi="Arial" w:eastAsia="Arial" w:cs="Arial"/>
          <w:b/>
          <w:sz w:val="24"/>
          <w:color w:val="000000"/>
        </w:rPr>
        <w:t>Reunión 1 — Corrección del MER</w:t>
      </w:r>
    </w:p>
    <w:p>
      <w:pPr>
        <w:spacing w:after="80"/>
      </w:pPr>
      <w:r>
        <w:rPr>
          <w:rFonts w:ascii="Arial" w:hAnsi="Arial" w:eastAsia="Arial" w:cs="Arial"/>
          <w:b/>
          <w:color w:val="000000"/>
        </w:rPr>
        <w:t xml:space="preserve">Fecha: </w:t>
      </w:r>
      <w:r>
        <w:rPr>
          <w:rFonts w:ascii="Arial" w:hAnsi="Arial" w:eastAsia="Arial" w:cs="Arial"/>
          <w:color w:val="000000"/>
        </w:rPr>
        <w:t>30 de septiembre de 2026</w:t>
      </w:r>
    </w:p>
    <w:p>
      <w:pPr>
        <w:spacing w:after="80"/>
      </w:pPr>
      <w:r>
        <w:rPr>
          <w:rFonts w:ascii="Arial" w:hAnsi="Arial" w:eastAsia="Arial" w:cs="Arial"/>
          <w:b/>
          <w:color w:val="000000"/>
        </w:rPr>
        <w:t xml:space="preserve">Asistentes: </w:t>
      </w:r>
      <w:r>
        <w:rPr>
          <w:rFonts w:ascii="Arial" w:hAnsi="Arial" w:eastAsia="Arial" w:cs="Arial"/>
          <w:color w:val="000000"/>
        </w:rPr>
        <w:t>José Daniel Córdoba Cabal, Daniel Montenegro, Sebastián Mejía, Juan Felipe Castro y Santiago Sierra Vásquez (5 de 5)</w:t>
      </w:r>
    </w:p>
    <w:p>
      <w:pPr>
        <w:spacing w:after="40"/>
      </w:pPr>
      <w:r>
        <w:rPr>
          <w:rFonts w:ascii="Arial" w:hAnsi="Arial" w:eastAsia="Arial" w:cs="Arial"/>
          <w:b/>
          <w:sz w:val="21"/>
          <w:color w:val="000000"/>
        </w:rPr>
        <w:t>Temas tratados: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Revisión del MER de la Entrega 1 frente al caso de estudio y las historias de usuario.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Pagos mixtos, historial de crédito de tienda, promociones con vigencia y estados de apartados y encargos.</w:t>
      </w:r>
    </w:p>
    <w:p>
      <w:pPr>
        <w:spacing w:after="40"/>
      </w:pPr>
      <w:r>
        <w:rPr>
          <w:rFonts w:ascii="Arial" w:hAnsi="Arial" w:eastAsia="Arial" w:cs="Arial"/>
          <w:b/>
          <w:sz w:val="21"/>
          <w:color w:val="000000"/>
        </w:rPr>
        <w:t>Acuerdos: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Crear PAYMENT, STORE_CREDIT_MOVEMENT y PROMOTION, y agregar los atributos de estado y de stock mínimo.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Asignar un área de la entrega a cada integrante.</w:t>
      </w:r>
    </w:p>
    <w:p>
      <w:pPr>
        <w:spacing w:after="80"/>
      </w:pPr>
    </w:p>
    <w:p>
      <w:pPr>
        <w:spacing w:after="80"/>
      </w:pPr>
      <w:r>
        <w:rPr>
          <w:rFonts w:ascii="Arial" w:hAnsi="Arial" w:eastAsia="Arial" w:cs="Arial"/>
          <w:b/>
          <w:sz w:val="24"/>
          <w:color w:val="000000"/>
        </w:rPr>
        <w:t>Reunión 2 — Transformación al modelo relacional</w:t>
      </w:r>
    </w:p>
    <w:p>
      <w:pPr>
        <w:spacing w:after="80"/>
      </w:pPr>
      <w:r>
        <w:rPr>
          <w:rFonts w:ascii="Arial" w:hAnsi="Arial" w:eastAsia="Arial" w:cs="Arial"/>
          <w:b/>
          <w:color w:val="000000"/>
        </w:rPr>
        <w:t xml:space="preserve">Fecha: </w:t>
      </w:r>
      <w:r>
        <w:rPr>
          <w:rFonts w:ascii="Arial" w:hAnsi="Arial" w:eastAsia="Arial" w:cs="Arial"/>
          <w:color w:val="000000"/>
        </w:rPr>
        <w:t>4 de octubre de 2026</w:t>
      </w:r>
    </w:p>
    <w:p>
      <w:pPr>
        <w:spacing w:after="80"/>
      </w:pPr>
      <w:r>
        <w:rPr>
          <w:rFonts w:ascii="Arial" w:hAnsi="Arial" w:eastAsia="Arial" w:cs="Arial"/>
          <w:b/>
          <w:color w:val="000000"/>
        </w:rPr>
        <w:t xml:space="preserve">Asistentes: </w:t>
      </w:r>
      <w:r>
        <w:rPr>
          <w:rFonts w:ascii="Arial" w:hAnsi="Arial" w:eastAsia="Arial" w:cs="Arial"/>
          <w:color w:val="000000"/>
        </w:rPr>
        <w:t>José Daniel Córdoba Cabal, Daniel Montenegro, Sebastián Mejía, Juan Felipe Castro y Santiago Sierra Vásquez (5 de 5)</w:t>
      </w:r>
    </w:p>
    <w:p>
      <w:pPr>
        <w:spacing w:after="40"/>
      </w:pPr>
      <w:r>
        <w:rPr>
          <w:rFonts w:ascii="Arial" w:hAnsi="Arial" w:eastAsia="Arial" w:cs="Arial"/>
          <w:b/>
          <w:sz w:val="21"/>
          <w:color w:val="000000"/>
        </w:rPr>
        <w:t>Temas tratados: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Reglas de transformación: relaciones 1:N, N:M, entidades asociativas y jerarquía PERSON.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Arcos exclusivos frente a tablas separadas para pagos y movimientos de crédito.</w:t>
      </w:r>
    </w:p>
    <w:p>
      <w:pPr>
        <w:spacing w:after="40"/>
      </w:pPr>
      <w:r>
        <w:rPr>
          <w:rFonts w:ascii="Arial" w:hAnsi="Arial" w:eastAsia="Arial" w:cs="Arial"/>
          <w:b/>
          <w:sz w:val="21"/>
          <w:color w:val="000000"/>
        </w:rPr>
        <w:t>Acuerdos: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Usar arcos en PAYMENT y STORE_CREDIT_MOVEMENT y una tabla por subtipo en la jerarquía.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Representar EMPLOYEE–ROLE y PROMOTION–VARIANT como relaciones N:M en el MER.</w:t>
      </w:r>
    </w:p>
    <w:p>
      <w:pPr>
        <w:spacing w:after="80"/>
      </w:pPr>
    </w:p>
    <w:p>
      <w:pPr>
        <w:spacing w:after="80"/>
      </w:pPr>
      <w:r>
        <w:rPr>
          <w:rFonts w:ascii="Arial" w:hAnsi="Arial" w:eastAsia="Arial" w:cs="Arial"/>
          <w:b/>
          <w:sz w:val="24"/>
          <w:color w:val="000000"/>
        </w:rPr>
        <w:t>Reunión 3 — Normalización y cierre</w:t>
      </w:r>
    </w:p>
    <w:p>
      <w:pPr>
        <w:spacing w:after="80"/>
      </w:pPr>
      <w:r>
        <w:rPr>
          <w:rFonts w:ascii="Arial" w:hAnsi="Arial" w:eastAsia="Arial" w:cs="Arial"/>
          <w:b/>
          <w:color w:val="000000"/>
        </w:rPr>
        <w:t xml:space="preserve">Fecha: </w:t>
      </w:r>
      <w:r>
        <w:rPr>
          <w:rFonts w:ascii="Arial" w:hAnsi="Arial" w:eastAsia="Arial" w:cs="Arial"/>
          <w:color w:val="000000"/>
        </w:rPr>
        <w:t>9 de octubre de 2026</w:t>
      </w:r>
    </w:p>
    <w:p>
      <w:pPr>
        <w:spacing w:after="80"/>
      </w:pPr>
      <w:r>
        <w:rPr>
          <w:rFonts w:ascii="Arial" w:hAnsi="Arial" w:eastAsia="Arial" w:cs="Arial"/>
          <w:b/>
          <w:color w:val="000000"/>
        </w:rPr>
        <w:t xml:space="preserve">Asistentes: </w:t>
      </w:r>
      <w:r>
        <w:rPr>
          <w:rFonts w:ascii="Arial" w:hAnsi="Arial" w:eastAsia="Arial" w:cs="Arial"/>
          <w:color w:val="000000"/>
        </w:rPr>
        <w:t>José Daniel Córdoba Cabal, Daniel Montenegro, Sebastián Mejía, Juan Felipe Castro y Santiago Sierra Vásquez (5 de 5)</w:t>
      </w:r>
    </w:p>
    <w:p>
      <w:pPr>
        <w:spacing w:after="40"/>
      </w:pPr>
      <w:r>
        <w:rPr>
          <w:rFonts w:ascii="Arial" w:hAnsi="Arial" w:eastAsia="Arial" w:cs="Arial"/>
          <w:b/>
          <w:sz w:val="21"/>
          <w:color w:val="000000"/>
        </w:rPr>
        <w:t>Temas tratados: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Verificación de 1FN, 2FN y 3FN y revisión de las dependencias funcionales.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Revisión final de los diagramas, las historias de usuario y la bitácora.</w:t>
      </w:r>
    </w:p>
    <w:p>
      <w:pPr>
        <w:spacing w:after="40"/>
      </w:pPr>
      <w:r>
        <w:rPr>
          <w:rFonts w:ascii="Arial" w:hAnsi="Arial" w:eastAsia="Arial" w:cs="Arial"/>
          <w:b/>
          <w:sz w:val="21"/>
          <w:color w:val="000000"/>
        </w:rPr>
        <w:t>Acuerdos: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Declarar UNIQUE las llaves candidatas de STORE_CREDIT_MOVEMENT y SALE.</w:t>
      </w:r>
    </w:p>
    <w:p>
      <w:pPr>
        <w:pStyle w:val="ListBullet"/>
        <w:spacing w:after="40"/>
      </w:pPr>
      <w:r>
        <w:rPr>
          <w:rFonts w:ascii="Arial" w:hAnsi="Arial" w:eastAsia="Arial" w:cs="Arial"/>
          <w:color w:val="000000"/>
        </w:rPr>
        <w:t>Subir la entrega al repositorio y los modelos actualizados a Saman.</w:t>
      </w:r>
    </w:p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Arial" w:cs="Arial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Arial" w:hAnsi="Arial" w:eastAsia="Arial" w:cs="Arial"/>
      <w:color w:val="000000"/>
    </w:rPr>
  </w:style>
  <w:style w:type="numbering" w:default="1" w:styleId="NoList">
    <w:name w:val="No List"/>
    <w:uiPriority w:val="99"/>
    <w:semiHidden/>
    <w:unhideWhenUsed/>
    <w:rPr>
      <w:rFonts w:ascii="Arial" w:hAnsi="Arial" w:eastAsia="Arial" w:cs="Arial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eastAsia="Arial" w:cs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Arial" w:hAnsi="Arial" w:eastAsia="Arial" w:cs="Arial"/>
      <w:color w:val="00000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Arial" w:hAnsi="Arial" w:eastAsia="Arial" w:cs="Arial"/>
      <w:color w:val="00000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Arial" w:hAnsi="Arial" w:eastAsia="Arial" w:cs="Arial"/>
      <w:color w:val="00000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Arial" w:hAnsi="Arial" w:eastAsia="Arial" w:cs="Arial"/>
      <w:color w:val="00000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Arial" w:hAnsi="Arial" w:eastAsia="Arial" w:cs="Arial"/>
      <w:color w:val="00000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Arial" w:hAnsi="Arial" w:eastAsia="Arial" w:cs="Arial"/>
      <w:color w:val="00000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Arial" w:hAnsi="Arial" w:eastAsia="Arial" w:cs="Arial"/>
      <w:color w:val="00000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Arial" w:hAnsi="Arial" w:eastAsia="Arial" w:cs="Arial"/>
      <w:color w:val="00000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Arial" w:hAnsi="Arial" w:eastAsia="Arial" w:cs="Arial"/>
      <w:color w:val="00000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Arial" w:hAnsi="Arial" w:eastAsia="Arial" w:cs="Arial"/>
      <w:color w:val="00000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Arial" w:hAnsi="Arial" w:eastAsia="Arial" w:cs="Arial"/>
      <w:color w:val="00000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Arial" w:hAnsi="Arial" w:eastAsia="Arial" w:cs="Arial"/>
      <w:color w:val="00000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Arial" w:hAnsi="Arial" w:eastAsia="Arial" w:cs="Arial"/>
      <w:color w:val="00000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Arial" w:hAnsi="Arial" w:eastAsia="Arial" w:cs="Arial"/>
      <w:color w:val="00000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Arial" w:hAnsi="Arial" w:eastAsia="Arial" w:cs="Arial"/>
      <w:color w:val="00000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rial" w:hAnsi="Arial" w:eastAsia="Arial" w:cs="Arial"/>
      <w:color w:val="00000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Arial" w:hAnsi="Arial" w:eastAsia="Arial" w:cs="Arial"/>
      <w:color w:val="00000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Arial" w:hAnsi="Arial" w:eastAsia="Arial" w:cs="Arial"/>
      <w:color w:val="00000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Arial" w:hAnsi="Arial" w:eastAsia="Arial" w:cs="Arial"/>
      <w:color w:val="00000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Arial" w:hAnsi="Arial" w:eastAsia="Arial" w:cs="Arial"/>
      <w:color w:val="00000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Arial" w:hAnsi="Arial" w:eastAsia="Arial" w:cs="Arial"/>
      <w:color w:val="00000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Arial" w:hAnsi="Arial" w:eastAsia="Arial" w:cs="Arial"/>
      <w:color w:val="00000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Arial" w:hAnsi="Arial" w:eastAsia="Arial" w:cs="Arial"/>
      <w:color w:val="00000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Arial" w:hAnsi="Arial" w:eastAsia="Arial" w:cs="Arial"/>
      <w:color w:val="00000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Arial" w:hAnsi="Arial" w:eastAsia="Arial" w:cs="Arial"/>
      <w:color w:val="00000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Arial" w:hAnsi="Arial" w:eastAsia="Arial" w:cs="Arial"/>
      <w:color w:val="00000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Arial" w:hAnsi="Arial" w:eastAsia="Arial" w:cs="Arial"/>
      <w:color w:val="00000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Arial" w:hAnsi="Arial" w:eastAsia="Arial" w:cs="Arial"/>
      <w:color w:val="00000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Arial" w:hAnsi="Arial" w:eastAsia="Arial" w:cs="Arial"/>
      <w:color w:val="00000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Arial" w:hAnsi="Arial" w:eastAsia="Arial" w:cs="Arial"/>
      <w:color w:val="00000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