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sz w:val="24"/>
          <w:color w:val="000000"/>
        </w:rPr>
        <w:t>UNIVERSIDAD ICESI</w:t>
      </w:r>
    </w:p>
    <w:p>
      <w:pPr>
        <w:spacing w:after="40"/>
        <w:jc w:val="center"/>
      </w:pPr>
      <w:r>
        <w:rPr>
          <w:rFonts w:ascii="Arial" w:hAnsi="Arial" w:eastAsia="Arial" w:cs="Arial"/>
          <w:b w:val="0"/>
          <w:sz w:val="20"/>
          <w:color w:val="000000"/>
        </w:rPr>
        <w:t>Facultad Barberi de Ingeniería, Diseño y Ciencias Aplicadas</w:t>
      </w:r>
    </w:p>
    <w:p>
      <w:pPr>
        <w:spacing w:after="40"/>
        <w:jc w:val="center"/>
      </w:pPr>
      <w:r>
        <w:rPr>
          <w:rFonts w:ascii="Arial" w:hAnsi="Arial" w:eastAsia="Arial" w:cs="Arial"/>
          <w:b w:val="0"/>
          <w:sz w:val="20"/>
          <w:color w:val="000000"/>
        </w:rPr>
        <w:t>Ingeniería de Sistemas — Sistemas Intensivos de Datos</w:t>
      </w:r>
    </w:p>
    <w:p>
      <w:pPr>
        <w:spacing w:after="320"/>
        <w:jc w:val="center"/>
      </w:pPr>
      <w:r>
        <w:rPr>
          <w:rFonts w:ascii="Arial" w:hAnsi="Arial" w:eastAsia="Arial" w:cs="Arial"/>
          <w:b w:val="0"/>
          <w:sz w:val="20"/>
          <w:color w:val="000000"/>
        </w:rPr>
        <w:t>Docente: Mónica María Rojas Rincón</w:t>
      </w:r>
    </w:p>
    <w:p>
      <w:pPr>
        <w:spacing w:after="100"/>
        <w:jc w:val="center"/>
      </w:pPr>
      <w:r>
        <w:rPr>
          <w:rFonts w:ascii="Arial" w:hAnsi="Arial" w:eastAsia="Arial" w:cs="Arial"/>
          <w:b/>
          <w:sz w:val="30"/>
          <w:color w:val="000000"/>
        </w:rPr>
        <w:t>BITÁCORA DE SEGUIMIENTO — ENTREGA 2</w:t>
      </w:r>
    </w:p>
    <w:p>
      <w:pPr>
        <w:spacing w:after="320"/>
        <w:jc w:val="center"/>
      </w:pPr>
      <w:r>
        <w:rPr>
          <w:rFonts w:ascii="Arial" w:hAnsi="Arial" w:eastAsia="Arial" w:cs="Arial"/>
          <w:b w:val="0"/>
          <w:sz w:val="22"/>
          <w:color w:val="000000"/>
        </w:rPr>
        <w:t>Proyecto: Sistema de Gestión de Inventario — Target Florida</w:t>
      </w:r>
    </w:p>
    <w:p>
      <w:pPr>
        <w:spacing w:after="120"/>
      </w:pPr>
      <w:r>
        <w:rPr>
          <w:rFonts w:ascii="Arial" w:hAnsi="Arial" w:eastAsia="Arial" w:cs="Arial"/>
          <w:b w:val="0"/>
          <w:sz w:val="21"/>
          <w:color w:val="000000"/>
        </w:rPr>
        <w:t>Todo el equipo participó en las decisiones de diseño del MER y del modelo relacional. Para organizar el trabajo, cada integrante lideró un área de la entrega con el mismo nivel de responsabilidad: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1728"/>
        <w:gridCol w:w="4320"/>
      </w:tblGrid>
      <w:tr>
        <w:tc>
          <w:tcPr>
            <w:tcW w:type="dxa" w:w="3312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b/>
                <w:sz w:val="20"/>
                <w:color w:val="000000"/>
              </w:rPr>
              <w:t>Integrante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b/>
                <w:sz w:val="20"/>
                <w:color w:val="000000"/>
              </w:rPr>
              <w:t>Código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b/>
                <w:sz w:val="20"/>
                <w:color w:val="000000"/>
              </w:rPr>
              <w:t>Área a cargo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José Daniel Córdoba Cabal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A00407856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Caso de estudio ajustado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Daniel Montenegro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A00409572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MER corregido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Sebastián Mejía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A00410557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Modelo relacional y script DDL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Juan Felipe Castro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A00410561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Historias de usuario y requerimientos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Santiago Sierra Vásquez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A00410695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sz w:val="20"/>
                <w:color w:val="000000"/>
              </w:rPr>
              <w:t>Normalización y dependencias funcionales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hAnsi="Arial" w:eastAsia="Arial" w:cs="Arial"/>
          <w:b/>
          <w:sz w:val="26"/>
          <w:color w:val="000000"/>
        </w:rPr>
        <w:t>1. José Daniel Córdoba Cabal — Caso de estudio ajustado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Qué se cumplió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Revisó el enunciado de la Entrega 1 frente al modelo y reescribió el caso de estudio en el README.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Incorporó al enunciado los pagos múltiples, el historial de crédito de tienda, las promociones con vigencia y los estados de apartados y encargos.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Amplió las reglas de negocio con RN-06 (pagos), RN-07 (devoluciones sin efectivo) y RN-08 (promociones).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Consolidó los archivos de la entrega en el repositorio.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Qué cambió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El cliente pasa a ser obligatorio en toda venta, en línea con RN-04 (antes decía "si aplica").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Se precisó cómo se calcula el stock: aumenta con cada lote y disminuye con ventas, apartados y ajustes de inventario.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Dificultades y cómo se resolvieron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El texto de la Entrega 1 describía atributos y relaciones que el diagrama no tenía, y al revés. Se resolvió comparando entidad por entidad y ajustando el texto y el modelo a la vez.</w:t>
      </w:r>
    </w:p>
    <w:p>
      <w:pPr>
        <w:spacing w:after="80"/>
      </w:pPr>
    </w:p>
    <w:p>
      <w:pPr>
        <w:spacing w:after="140"/>
      </w:pPr>
      <w:r>
        <w:rPr>
          <w:rFonts w:ascii="Arial" w:hAnsi="Arial" w:eastAsia="Arial" w:cs="Arial"/>
          <w:b/>
          <w:sz w:val="26"/>
          <w:color w:val="000000"/>
        </w:rPr>
        <w:t>2. Daniel Montenegro — MER corregido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Qué se cumplió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Corrigió el MER en Oracle SQL Developer Data Modeler: quedó con 23 entidades y 31 relaciones en notación Barker.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Creó las entidades PAYMENT, STORE_CREDIT_MOVEMENT, PROMOTION, RETURN_DETAIL e INVENTORY_ADJUSTMENT.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Definió las entidades asociativas SALE_DETAIL, LAYAWAY_DETAIL, BATCH_DETAIL y RETURN_DETAIL con relaciones identificadoras.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Organizó el diagrama para que fuera legible, con el menor número posible de cruces entre relaciones.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Qué cambió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EMPLOYEE–ROLE y PROMOTION–VARIANT pasaron de entidades a relaciones N:M, porque no tienen atributos propios.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Se retiraron atributos que ninguna historia usaba (email, address, registration_date, Brand.origin, Return.state).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Dificultades y cómo se resolvieron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Las tablas intermedias del relacional se habían dibujado como entidades en el MER. Se corrigió separando lo que es del MER y lo que es del relacional.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Los diagramas eran difíciles de leer por líneas superpuestas. Se reorganizaron en cuadrícula, con codos en las relaciones.</w:t>
      </w:r>
    </w:p>
    <w:p>
      <w:pPr>
        <w:spacing w:after="80"/>
      </w:pPr>
    </w:p>
    <w:p>
      <w:pPr>
        <w:spacing w:after="140"/>
      </w:pPr>
      <w:r>
        <w:rPr>
          <w:rFonts w:ascii="Arial" w:hAnsi="Arial" w:eastAsia="Arial" w:cs="Arial"/>
          <w:b/>
          <w:sz w:val="26"/>
          <w:color w:val="000000"/>
        </w:rPr>
        <w:t>3. Sebastián Mejía — Modelo relacional y script DDL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Qué se cumplió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Generó el modelo relacional a partir del MER: 25 tablas y 35 llaves foráneas.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Implementó la jerarquía PERSON → CUSTOMER / EMPLOYEE con una tabla por subtipo y la relación 1:1 LAYAWAY–SALE con una FK única.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Declaró las restricciones UNIQUE, CHECK y los arcos exclusivos de PAYMENT y STORE_CREDIT_MOVEMENT.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Generó y probó el script DDL para Oracle.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Qué cambió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Se eligieron arcos exclusivos en lugar de tablas separadas para los pagos y los movimientos de crédito.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Dificultades y cómo se resolvieron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Al regenerar el relacional en Data Modeler aparecían llaves foráneas duplicadas. Se revisaron tabla por tabla hasta dejar una FK por relación.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Había que decidir entre arcos, dos tablas o una columna genérica. Se compararon las tres opciones y se eligió el arco por integridad referencial y consultas más simples.</w:t>
      </w:r>
    </w:p>
    <w:p>
      <w:pPr>
        <w:spacing w:after="80"/>
      </w:pPr>
    </w:p>
    <w:p>
      <w:pPr>
        <w:spacing w:after="140"/>
      </w:pPr>
      <w:r>
        <w:rPr>
          <w:rFonts w:ascii="Arial" w:hAnsi="Arial" w:eastAsia="Arial" w:cs="Arial"/>
          <w:b/>
          <w:sz w:val="26"/>
          <w:color w:val="000000"/>
        </w:rPr>
        <w:t>4. Juan Felipe Castro — Historias de usuario y requerimientos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Qué se cumplió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Actualizó las 17 historias de usuario (HU-01 a HU-17) para que coincidan con el modelo final.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Reemplazó las notas de "pendiente de modelo" y "cambio de modelo requerido" por la forma en que el modelo soporta cada historia.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Corrigió criterios de aceptación: proveedor activo (HU-04), trazabilidad del catálogo (HU-01) y nombres de las relaciones (HU-06, HU-07).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Convirtió la sección "fuera del alcance" en la lista de cambios incorporados al modelo.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Qué cambió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Los puntos que antes se consideraban fuera del alcance quedaron incluidos: pagos mixtos, historial de crédito, promociones con vigencia, estados y umbral de stock.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Dificultades y cómo se resolvieron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Varias historias dependían de cambios de modelo que aún no estaban hechos. Se trabajó de la mano con el MER para cerrar cada historia apenas se agregaba la entidad o el atributo que necesitaba.</w:t>
      </w:r>
    </w:p>
    <w:p>
      <w:pPr>
        <w:spacing w:after="80"/>
      </w:pPr>
    </w:p>
    <w:p>
      <w:pPr>
        <w:spacing w:after="140"/>
      </w:pPr>
      <w:r>
        <w:rPr>
          <w:rFonts w:ascii="Arial" w:hAnsi="Arial" w:eastAsia="Arial" w:cs="Arial"/>
          <w:b/>
          <w:sz w:val="26"/>
          <w:color w:val="000000"/>
        </w:rPr>
        <w:t>5. Santiago Sierra Vásquez — Normalización y dependencias funcionales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Qué se cumplió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Elaboró el listado de dependencias funcionales de las 25 tablas, con sus llaves candidatas.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Verificó la primera, segunda y tercera forma normal.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Documentó por qué se usan arcos exclusivos en lugar de tablas adicionales.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Justificó los atributos derivados SALE.total y VARIANT.stock como redundancia controlada.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Qué cambió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Se agregaron restricciones UNIQUE a RETURN_return_id y PAYMENT_payment_id en STORE_CREDIT_MOVEMENT para que el modelo quede en 3FN.</w:t>
      </w:r>
    </w:p>
    <w:p>
      <w:pPr>
        <w:spacing w:after="60"/>
      </w:pPr>
      <w:r>
        <w:rPr>
          <w:rFonts w:ascii="Arial" w:hAnsi="Arial" w:eastAsia="Arial" w:cs="Arial"/>
          <w:b/>
          <w:sz w:val="21"/>
          <w:color w:val="000000"/>
        </w:rPr>
        <w:t>Dificultades y cómo se resolvieron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En STORE_CREDIT_MOVEMENT y en SALE aparecían dependencias que no partían de la llave primaria. Se resolvió identificando esas columnas como llaves candidatas y declarándolas UNIQUE.</w:t>
      </w:r>
    </w:p>
    <w:p>
      <w:pPr>
        <w:pStyle w:val="ListBullet"/>
        <w:spacing w:after="60"/>
      </w:pPr>
      <w:r>
        <w:rPr>
          <w:rFonts w:ascii="Arial" w:hAnsi="Arial" w:eastAsia="Arial" w:cs="Arial"/>
          <w:sz w:val="21"/>
          <w:color w:val="000000"/>
        </w:rPr>
        <w:t>Hubo dudas sobre si total y stock violaban la 3FN. Se concluyó que no, porque dependen de filas de otras tablas y no de atributos de la misma fila.</w:t>
      </w:r>
    </w:p>
    <w:p>
      <w:pPr>
        <w:spacing w:after="80"/>
      </w:pPr>
    </w:p>
    <w:p>
      <w:pPr>
        <w:spacing w:after="140"/>
      </w:pPr>
      <w:r>
        <w:rPr>
          <w:rFonts w:ascii="Arial" w:hAnsi="Arial" w:eastAsia="Arial" w:cs="Arial"/>
          <w:b/>
          <w:sz w:val="26"/>
          <w:color w:val="000000"/>
        </w:rPr>
        <w:t>Redistribución de tareas</w:t>
      </w:r>
    </w:p>
    <w:p>
      <w:pPr>
        <w:spacing w:after="120"/>
      </w:pPr>
      <w:r>
        <w:rPr>
          <w:rFonts w:ascii="Arial" w:hAnsi="Arial" w:eastAsia="Arial" w:cs="Arial"/>
          <w:b w:val="0"/>
          <w:sz w:val="21"/>
          <w:color w:val="000000"/>
        </w:rPr>
        <w:t>Frente a la Entrega 1, el trabajo se reorganizó por áreas de la entrega en lugar de por roles: cada integrante quedó a cargo de un entregable completo, y las decisiones de diseño que afectaban a varias áreas (arcos, jerarquía PERSON, entidades nuevas) se tomaron entre todos antes de que cada uno ajustara su parte.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Arial" w:cs="Arial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Arial" w:hAnsi="Arial" w:eastAsia="Arial" w:cs="Arial"/>
      <w:color w:val="000000"/>
    </w:rPr>
  </w:style>
  <w:style w:type="numbering" w:default="1" w:styleId="NoList">
    <w:name w:val="No List"/>
    <w:uiPriority w:val="99"/>
    <w:semiHidden/>
    <w:unhideWhenUsed/>
    <w:rPr>
      <w:rFonts w:ascii="Arial" w:hAnsi="Arial" w:eastAsia="Arial" w:cs="Arial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eastAsia="Arial" w:cs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Arial" w:hAnsi="Arial" w:eastAsia="Arial" w:cs="Arial"/>
      <w:color w:val="00000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Arial" w:hAnsi="Arial" w:eastAsia="Arial" w:cs="Arial"/>
      <w:color w:val="00000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Arial" w:hAnsi="Arial" w:eastAsia="Arial" w:cs="Arial"/>
      <w:color w:val="00000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Arial" w:hAnsi="Arial" w:eastAsia="Arial" w:cs="Arial"/>
      <w:color w:val="00000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Arial" w:hAnsi="Arial" w:eastAsia="Arial" w:cs="Arial"/>
      <w:color w:val="00000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Arial" w:hAnsi="Arial" w:eastAsia="Arial" w:cs="Arial"/>
      <w:color w:val="00000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Arial" w:hAnsi="Arial" w:eastAsia="Arial" w:cs="Arial"/>
      <w:color w:val="00000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Arial" w:hAnsi="Arial" w:eastAsia="Arial" w:cs="Arial"/>
      <w:color w:val="00000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Arial" w:hAnsi="Arial" w:eastAsia="Arial" w:cs="Arial"/>
      <w:color w:val="00000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Arial" w:hAnsi="Arial" w:eastAsia="Arial" w:cs="Arial"/>
      <w:color w:val="00000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Arial" w:hAnsi="Arial" w:eastAsia="Arial" w:cs="Arial"/>
      <w:color w:val="00000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Arial" w:hAnsi="Arial" w:eastAsia="Arial" w:cs="Arial"/>
      <w:color w:val="00000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Arial" w:hAnsi="Arial" w:eastAsia="Arial" w:cs="Arial"/>
      <w:color w:val="00000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Arial" w:hAnsi="Arial" w:eastAsia="Arial" w:cs="Arial"/>
      <w:color w:val="00000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Arial" w:hAnsi="Arial" w:eastAsia="Arial" w:cs="Arial"/>
      <w:color w:val="00000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Arial" w:hAnsi="Arial" w:eastAsia="Arial" w:cs="Arial"/>
      <w:color w:val="00000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Arial" w:hAnsi="Arial" w:eastAsia="Arial" w:cs="Arial"/>
      <w:color w:val="00000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Arial" w:hAnsi="Arial" w:eastAsia="Arial" w:cs="Arial"/>
      <w:color w:val="00000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Arial" w:hAnsi="Arial" w:eastAsia="Arial" w:cs="Arial"/>
      <w:color w:val="00000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Arial" w:hAnsi="Arial" w:eastAsia="Arial" w:cs="Arial"/>
      <w:color w:val="00000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Arial" w:hAnsi="Arial" w:eastAsia="Arial" w:cs="Arial"/>
      <w:color w:val="00000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Arial" w:hAnsi="Arial" w:eastAsia="Arial" w:cs="Arial"/>
      <w:color w:val="00000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Arial" w:hAnsi="Arial" w:eastAsia="Arial" w:cs="Arial"/>
      <w:color w:val="00000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Arial" w:hAnsi="Arial" w:eastAsia="Arial" w:cs="Arial"/>
      <w:color w:val="00000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Arial" w:hAnsi="Arial" w:eastAsia="Arial" w:cs="Arial"/>
      <w:color w:val="00000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Arial" w:hAnsi="Arial" w:eastAsia="Arial" w:cs="Arial"/>
      <w:color w:val="00000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Arial" w:hAnsi="Arial" w:eastAsia="Arial" w:cs="Arial"/>
      <w:color w:val="00000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Arial" w:hAnsi="Arial" w:eastAsia="Arial" w:cs="Arial"/>
      <w:color w:val="00000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Arial" w:hAnsi="Arial" w:eastAsia="Arial" w:cs="Arial"/>
      <w:color w:val="00000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