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//clase derivada de clase base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Comisiones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//atributos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ventas;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porcentaje;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//propiedades de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Ventas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ventas;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ventas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Porcentaje {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porcentaje;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=&gt; porcentaje =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Comisiones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Comisiones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ventas,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porcentaje)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.ventas = ventas;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.porcentaje = porcentaje/100;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Comisiones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salario, jefe)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//sobreescritura de metodo heredado de clase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sueldo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Salario = ventas * porcentaje;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//sebreescritura de metodo string de super clase objet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$"Documento: {Documento}\nNombre: {Nombre}\nApellido: {Apellido}\nDireccion: {Direccion}\nSalario: {Salario}\nJefe: {Jefe}"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