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04574"/>
          <w:sz w:val="44"/>
        </w:rPr>
        <w:t>BITACORA TECNICA</w:t>
      </w:r>
    </w:p>
    <w:p>
      <w:pPr>
        <w:spacing w:after="280"/>
      </w:pPr>
      <w:r>
        <w:rPr>
          <w:rFonts w:ascii="Calibri" w:hAnsi="Calibri"/>
          <w:b/>
          <w:color w:val="1F2937"/>
          <w:sz w:val="28"/>
        </w:rPr>
        <w:t>QuillaMap Modo Peaton: confort termico y zonas verdes</w:t>
      </w:r>
    </w:p>
    <w:p>
      <w:pPr>
        <w:spacing w:before="0" w:after="40" w:line="264" w:lineRule="auto"/>
      </w:pPr>
      <w:r>
        <w:rPr>
          <w:rFonts w:ascii="Calibri" w:hAnsi="Calibri"/>
          <w:b/>
          <w:color w:val="1F2937"/>
          <w:sz w:val="21"/>
        </w:rPr>
        <w:t xml:space="preserve">Fecha de cierre: </w:t>
      </w:r>
      <w:r>
        <w:rPr>
          <w:rFonts w:ascii="Calibri" w:hAnsi="Calibri"/>
          <w:color w:val="1F2937"/>
          <w:sz w:val="21"/>
        </w:rPr>
        <w:t>29 de julio de 2026</w:t>
      </w:r>
    </w:p>
    <w:p>
      <w:pPr>
        <w:spacing w:before="0" w:after="40" w:line="264" w:lineRule="auto"/>
      </w:pPr>
      <w:r>
        <w:rPr>
          <w:rFonts w:ascii="Calibri" w:hAnsi="Calibri"/>
          <w:b/>
          <w:color w:val="1F2937"/>
          <w:sz w:val="21"/>
        </w:rPr>
        <w:t xml:space="preserve">Alcance geografico: </w:t>
      </w:r>
      <w:r>
        <w:rPr>
          <w:rFonts w:ascii="Calibri" w:hAnsi="Calibri"/>
          <w:color w:val="1F2937"/>
          <w:sz w:val="21"/>
        </w:rPr>
        <w:t>Area Metropolitana de Barranquilla: Barranquilla, Soledad, Malambo, Galapa y Puerto Colombia</w:t>
      </w:r>
    </w:p>
    <w:p>
      <w:pPr>
        <w:spacing w:before="0" w:after="40" w:line="264" w:lineRule="auto"/>
      </w:pPr>
      <w:r>
        <w:rPr>
          <w:rFonts w:ascii="Calibri" w:hAnsi="Calibri"/>
          <w:b/>
          <w:color w:val="1F2937"/>
          <w:sz w:val="21"/>
        </w:rPr>
        <w:t xml:space="preserve">Repositorios: </w:t>
      </w:r>
      <w:r>
        <w:rPr>
          <w:rFonts w:ascii="Calibri" w:hAnsi="Calibri"/>
          <w:color w:val="1F2937"/>
          <w:sz w:val="21"/>
        </w:rPr>
        <w:t>quillamap-backend y quillamap-frontend</w:t>
      </w:r>
    </w:p>
    <w:p>
      <w:pPr>
        <w:spacing w:before="0" w:after="40" w:line="264" w:lineRule="auto"/>
      </w:pPr>
      <w:r>
        <w:rPr>
          <w:rFonts w:ascii="Calibri" w:hAnsi="Calibri"/>
          <w:b/>
          <w:color w:val="1F2937"/>
          <w:sz w:val="21"/>
        </w:rPr>
        <w:t xml:space="preserve">Estado: </w:t>
      </w:r>
      <w:r>
        <w:rPr>
          <w:rFonts w:ascii="Calibri" w:hAnsi="Calibri"/>
          <w:color w:val="1F2937"/>
          <w:sz w:val="21"/>
        </w:rPr>
        <w:t>Funcionalidad validada por el desarrollador y lista para bitacora</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7F0"/>
          </w:tcPr>
          <w:p>
            <w:pPr>
              <w:spacing w:after="80"/>
            </w:pPr>
            <w:r>
              <w:rPr>
                <w:rFonts w:ascii="Calibri" w:hAnsi="Calibri"/>
                <w:b/>
                <w:color w:val="004574"/>
                <w:sz w:val="21"/>
              </w:rPr>
              <w:t>Resumen ejecutivo</w:t>
            </w:r>
          </w:p>
          <w:p>
            <w:pPr>
              <w:spacing w:after="0"/>
            </w:pPr>
            <w:r>
              <w:rPr>
                <w:rFonts w:ascii="Calibri" w:hAnsi="Calibri"/>
                <w:color w:val="1F2937"/>
                <w:sz w:val="21"/>
              </w:rPr>
              <w:t>Se implemento la base funcional del modo peaton orientado a confort termico. La app ahora consulta y dibuja zonas verdes cercanas, entendidas para usuario final como arboles, parques y areas con pasto. La experiencia quedo separada de la navegacion GPS: buscar un lugar particular interrumpe el seguimiento de ubicacion, mientras que 'Cerca de mi ubicacion' usa el GPS activo y limita la consulta a un radio controlado.</w:t>
            </w:r>
          </w:p>
        </w:tc>
      </w:tr>
    </w:tbl>
    <w:p>
      <w:pPr>
        <w:spacing w:before="0" w:after="80" w:line="264" w:lineRule="auto"/>
      </w:pPr>
    </w:p>
    <w:p>
      <w:pPr>
        <w:pStyle w:val="Heading1"/>
        <w:spacing w:before="320" w:after="160"/>
      </w:pPr>
      <w:r>
        <w:rPr>
          <w:rFonts w:ascii="Calibri" w:hAnsi="Calibri"/>
          <w:b/>
          <w:color w:val="004574"/>
          <w:sz w:val="32"/>
        </w:rPr>
        <w:t>Entregables Implementados</w:t>
      </w:r>
    </w:p>
    <w:tbl>
      <w:tblPr>
        <w:tblStyle w:val="TableGrid"/>
        <w:tblW w:type="dxa" w:w="9360"/>
        <w:tblLayout w:type="fixed"/>
        <w:tblLook w:firstColumn="1" w:firstRow="1" w:lastColumn="0" w:lastRow="0" w:noHBand="0" w:noVBand="1" w:val="04A0"/>
        <w:jc w:val="left"/>
        <w:tblInd w:w="120" w:type="dxa"/>
        <w:tblInd w:w="120" w:type="dxa"/>
      </w:tblPr>
      <w:tblGrid>
        <w:gridCol w:w="1720"/>
        <w:gridCol w:w="2860"/>
        <w:gridCol w:w="4780"/>
      </w:tblGrid>
      <w:tr>
        <w:tc>
          <w:tcPr>
            <w:tcW w:type="dxa" w:w="1720"/>
            <w:vAlign w:val="center"/>
            <w:tcMar>
              <w:top w:w="80" w:type="dxa"/>
              <w:start w:w="120" w:type="dxa"/>
              <w:bottom w:w="80" w:type="dxa"/>
              <w:end w:w="120" w:type="dxa"/>
            </w:tcMar>
            <w:shd w:fill="F2F4F7"/>
          </w:tcPr>
          <w:p>
            <w:pPr>
              <w:spacing w:after="0"/>
            </w:pPr>
            <w:r>
              <w:rPr>
                <w:rFonts w:ascii="Calibri" w:hAnsi="Calibri"/>
                <w:b/>
                <w:color w:val="004574"/>
                <w:sz w:val="20"/>
              </w:rPr>
              <w:t>Area</w:t>
            </w:r>
          </w:p>
        </w:tc>
        <w:tc>
          <w:tcPr>
            <w:tcW w:type="dxa" w:w="2860"/>
            <w:vAlign w:val="center"/>
            <w:tcMar>
              <w:top w:w="80" w:type="dxa"/>
              <w:start w:w="120" w:type="dxa"/>
              <w:bottom w:w="80" w:type="dxa"/>
              <w:end w:w="120" w:type="dxa"/>
            </w:tcMar>
            <w:shd w:fill="F2F4F7"/>
          </w:tcPr>
          <w:p>
            <w:pPr>
              <w:spacing w:after="0"/>
            </w:pPr>
            <w:r>
              <w:rPr>
                <w:rFonts w:ascii="Calibri" w:hAnsi="Calibri"/>
                <w:b/>
                <w:color w:val="004574"/>
                <w:sz w:val="20"/>
              </w:rPr>
              <w:t>Entregable</w:t>
            </w:r>
          </w:p>
        </w:tc>
        <w:tc>
          <w:tcPr>
            <w:tcW w:type="dxa" w:w="4780"/>
            <w:vAlign w:val="center"/>
            <w:tcMar>
              <w:top w:w="80" w:type="dxa"/>
              <w:start w:w="120" w:type="dxa"/>
              <w:bottom w:w="80" w:type="dxa"/>
              <w:end w:w="120" w:type="dxa"/>
            </w:tcMar>
            <w:shd w:fill="F2F4F7"/>
          </w:tcPr>
          <w:p>
            <w:pPr>
              <w:spacing w:after="0"/>
            </w:pPr>
            <w:r>
              <w:rPr>
                <w:rFonts w:ascii="Calibri" w:hAnsi="Calibri"/>
                <w:b/>
                <w:color w:val="004574"/>
                <w:sz w:val="20"/>
              </w:rPr>
              <w:t>Resultado</w:t>
            </w:r>
          </w:p>
        </w:tc>
      </w:tr>
      <w:tr>
        <w:tc>
          <w:tcPr>
            <w:tcW w:type="dxa" w:w="1720"/>
            <w:vAlign w:val="center"/>
            <w:tcMar>
              <w:top w:w="80" w:type="dxa"/>
              <w:start w:w="120" w:type="dxa"/>
              <w:bottom w:w="80" w:type="dxa"/>
              <w:end w:w="120" w:type="dxa"/>
            </w:tcMar>
          </w:tcPr>
          <w:p>
            <w:pPr>
              <w:spacing w:after="0"/>
            </w:pPr>
            <w:r>
              <w:rPr>
                <w:rFonts w:ascii="Calibri" w:hAnsi="Calibri"/>
                <w:color w:val="1F2937"/>
                <w:sz w:val="19"/>
              </w:rPr>
              <w:t>Backend</w:t>
            </w:r>
          </w:p>
        </w:tc>
        <w:tc>
          <w:tcPr>
            <w:tcW w:type="dxa" w:w="2860"/>
            <w:vAlign w:val="center"/>
            <w:tcMar>
              <w:top w:w="80" w:type="dxa"/>
              <w:start w:w="120" w:type="dxa"/>
              <w:bottom w:w="80" w:type="dxa"/>
              <w:end w:w="120" w:type="dxa"/>
            </w:tcMar>
          </w:tcPr>
          <w:p>
            <w:pPr>
              <w:spacing w:after="0"/>
            </w:pPr>
            <w:r>
              <w:rPr>
                <w:rFonts w:ascii="Calibri" w:hAnsi="Calibri"/>
                <w:color w:val="1F2937"/>
                <w:sz w:val="19"/>
              </w:rPr>
              <w:t>Modelo PostGIS e importador</w:t>
            </w:r>
          </w:p>
        </w:tc>
        <w:tc>
          <w:tcPr>
            <w:tcW w:type="dxa" w:w="4780"/>
            <w:vAlign w:val="center"/>
            <w:tcMar>
              <w:top w:w="80" w:type="dxa"/>
              <w:start w:w="120" w:type="dxa"/>
              <w:bottom w:w="80" w:type="dxa"/>
              <w:end w:w="120" w:type="dxa"/>
            </w:tcMar>
          </w:tcPr>
          <w:p>
            <w:pPr>
              <w:spacing w:after="0"/>
            </w:pPr>
            <w:r>
              <w:rPr>
                <w:rFonts w:ascii="Calibri" w:hAnsi="Calibri"/>
                <w:color w:val="1F2937"/>
                <w:sz w:val="19"/>
              </w:rPr>
              <w:t>Tabla amb_green_coverage con entidades, DTOs, modulo Thermal Comfort, seed desde Overpass JSON y consulta espacial SRID 4326.</w:t>
            </w:r>
          </w:p>
        </w:tc>
      </w:tr>
      <w:tr>
        <w:tc>
          <w:tcPr>
            <w:tcW w:type="dxa" w:w="1720"/>
            <w:vAlign w:val="center"/>
            <w:tcMar>
              <w:top w:w="80" w:type="dxa"/>
              <w:start w:w="120" w:type="dxa"/>
              <w:bottom w:w="80" w:type="dxa"/>
              <w:end w:w="120" w:type="dxa"/>
            </w:tcMar>
          </w:tcPr>
          <w:p>
            <w:pPr>
              <w:spacing w:after="0"/>
            </w:pPr>
            <w:r>
              <w:rPr>
                <w:rFonts w:ascii="Calibri" w:hAnsi="Calibri"/>
                <w:color w:val="1F2937"/>
                <w:sz w:val="19"/>
              </w:rPr>
              <w:t>Backend</w:t>
            </w:r>
          </w:p>
        </w:tc>
        <w:tc>
          <w:tcPr>
            <w:tcW w:type="dxa" w:w="2860"/>
            <w:vAlign w:val="center"/>
            <w:tcMar>
              <w:top w:w="80" w:type="dxa"/>
              <w:start w:w="120" w:type="dxa"/>
              <w:bottom w:w="80" w:type="dxa"/>
              <w:end w:w="120" w:type="dxa"/>
            </w:tcMar>
          </w:tcPr>
          <w:p>
            <w:pPr>
              <w:spacing w:after="0"/>
            </w:pPr>
            <w:r>
              <w:rPr>
                <w:rFonts w:ascii="Calibri" w:hAnsi="Calibri"/>
                <w:color w:val="1F2937"/>
                <w:sz w:val="19"/>
              </w:rPr>
              <w:t>Cruce geoespacial</w:t>
            </w:r>
          </w:p>
        </w:tc>
        <w:tc>
          <w:tcPr>
            <w:tcW w:type="dxa" w:w="4780"/>
            <w:vAlign w:val="center"/>
            <w:tcMar>
              <w:top w:w="80" w:type="dxa"/>
              <w:start w:w="120" w:type="dxa"/>
              <w:bottom w:w="80" w:type="dxa"/>
              <w:end w:w="120" w:type="dxa"/>
            </w:tcMar>
          </w:tcPr>
          <w:p>
            <w:pPr>
              <w:spacing w:after="0"/>
            </w:pPr>
            <w:r>
              <w:rPr>
                <w:rFonts w:ascii="Calibri" w:hAnsi="Calibri"/>
                <w:color w:val="1F2937"/>
                <w:sz w:val="19"/>
              </w:rPr>
              <w:t>Uso de ST_DWithin para consultar puntos/poligonos verdes y enriquecer rutas peatonales con shadeSegments.</w:t>
            </w:r>
          </w:p>
        </w:tc>
      </w:tr>
      <w:tr>
        <w:tc>
          <w:tcPr>
            <w:tcW w:type="dxa" w:w="1720"/>
            <w:vAlign w:val="center"/>
            <w:tcMar>
              <w:top w:w="80" w:type="dxa"/>
              <w:start w:w="120" w:type="dxa"/>
              <w:bottom w:w="80" w:type="dxa"/>
              <w:end w:w="120" w:type="dxa"/>
            </w:tcMar>
          </w:tcPr>
          <w:p>
            <w:pPr>
              <w:spacing w:after="0"/>
            </w:pPr>
            <w:r>
              <w:rPr>
                <w:rFonts w:ascii="Calibri" w:hAnsi="Calibri"/>
                <w:color w:val="1F2937"/>
                <w:sz w:val="19"/>
              </w:rPr>
              <w:t>Backend</w:t>
            </w:r>
          </w:p>
        </w:tc>
        <w:tc>
          <w:tcPr>
            <w:tcW w:type="dxa" w:w="2860"/>
            <w:vAlign w:val="center"/>
            <w:tcMar>
              <w:top w:w="80" w:type="dxa"/>
              <w:start w:w="120" w:type="dxa"/>
              <w:bottom w:w="80" w:type="dxa"/>
              <w:end w:w="120" w:type="dxa"/>
            </w:tcMar>
          </w:tcPr>
          <w:p>
            <w:pPr>
              <w:spacing w:after="0"/>
            </w:pPr>
            <w:r>
              <w:rPr>
                <w:rFonts w:ascii="Calibri" w:hAnsi="Calibri"/>
                <w:color w:val="1F2937"/>
                <w:sz w:val="19"/>
              </w:rPr>
              <w:t>Perfil OSRM</w:t>
            </w:r>
          </w:p>
        </w:tc>
        <w:tc>
          <w:tcPr>
            <w:tcW w:type="dxa" w:w="4780"/>
            <w:vAlign w:val="center"/>
            <w:tcMar>
              <w:top w:w="80" w:type="dxa"/>
              <w:start w:w="120" w:type="dxa"/>
              <w:bottom w:w="80" w:type="dxa"/>
              <w:end w:w="120" w:type="dxa"/>
            </w:tcMar>
          </w:tcPr>
          <w:p>
            <w:pPr>
              <w:spacing w:after="0"/>
            </w:pPr>
            <w:r>
              <w:rPr>
                <w:rFonts w:ascii="Calibri" w:hAnsi="Calibri"/>
                <w:color w:val="1F2937"/>
                <w:sz w:val="19"/>
              </w:rPr>
              <w:t>Snippet Lua documentado para foot.lua con incentivos a sombra/arborizacion y penalizacion por calles sin cobertura vegetal.</w:t>
            </w:r>
          </w:p>
        </w:tc>
      </w:tr>
      <w:tr>
        <w:tc>
          <w:tcPr>
            <w:tcW w:type="dxa" w:w="1720"/>
            <w:vAlign w:val="center"/>
            <w:tcMar>
              <w:top w:w="80" w:type="dxa"/>
              <w:start w:w="120" w:type="dxa"/>
              <w:bottom w:w="80" w:type="dxa"/>
              <w:end w:w="120" w:type="dxa"/>
            </w:tcMar>
          </w:tcPr>
          <w:p>
            <w:pPr>
              <w:spacing w:after="0"/>
            </w:pPr>
            <w:r>
              <w:rPr>
                <w:rFonts w:ascii="Calibri" w:hAnsi="Calibri"/>
                <w:color w:val="1F2937"/>
                <w:sz w:val="19"/>
              </w:rPr>
              <w:t>Frontend</w:t>
            </w:r>
          </w:p>
        </w:tc>
        <w:tc>
          <w:tcPr>
            <w:tcW w:type="dxa" w:w="2860"/>
            <w:vAlign w:val="center"/>
            <w:tcMar>
              <w:top w:w="80" w:type="dxa"/>
              <w:start w:w="120" w:type="dxa"/>
              <w:bottom w:w="80" w:type="dxa"/>
              <w:end w:w="120" w:type="dxa"/>
            </w:tcMar>
          </w:tcPr>
          <w:p>
            <w:pPr>
              <w:spacing w:after="0"/>
            </w:pPr>
            <w:r>
              <w:rPr>
                <w:rFonts w:ascii="Calibri" w:hAnsi="Calibri"/>
                <w:color w:val="1F2937"/>
                <w:sz w:val="19"/>
              </w:rPr>
              <w:t>Feature independiente</w:t>
            </w:r>
          </w:p>
        </w:tc>
        <w:tc>
          <w:tcPr>
            <w:tcW w:type="dxa" w:w="4780"/>
            <w:vAlign w:val="center"/>
            <w:tcMar>
              <w:top w:w="80" w:type="dxa"/>
              <w:start w:w="120" w:type="dxa"/>
              <w:bottom w:w="80" w:type="dxa"/>
              <w:end w:w="120" w:type="dxa"/>
            </w:tcMar>
          </w:tcPr>
          <w:p>
            <w:pPr>
              <w:spacing w:after="0"/>
            </w:pPr>
            <w:r>
              <w:rPr>
                <w:rFonts w:ascii="Calibri" w:hAnsi="Calibri"/>
                <w:color w:val="1F2937"/>
                <w:sz w:val="19"/>
              </w:rPr>
              <w:t>Panel 'Zonas verdes' separado de la barra principal de destino y de las peticiones normales de navegacion.</w:t>
            </w:r>
          </w:p>
        </w:tc>
      </w:tr>
      <w:tr>
        <w:tc>
          <w:tcPr>
            <w:tcW w:type="dxa" w:w="1720"/>
            <w:vAlign w:val="center"/>
            <w:tcMar>
              <w:top w:w="80" w:type="dxa"/>
              <w:start w:w="120" w:type="dxa"/>
              <w:bottom w:w="80" w:type="dxa"/>
              <w:end w:w="120" w:type="dxa"/>
            </w:tcMar>
          </w:tcPr>
          <w:p>
            <w:pPr>
              <w:spacing w:after="0"/>
            </w:pPr>
            <w:r>
              <w:rPr>
                <w:rFonts w:ascii="Calibri" w:hAnsi="Calibri"/>
                <w:color w:val="1F2937"/>
                <w:sz w:val="19"/>
              </w:rPr>
              <w:t>Frontend</w:t>
            </w:r>
          </w:p>
        </w:tc>
        <w:tc>
          <w:tcPr>
            <w:tcW w:type="dxa" w:w="2860"/>
            <w:vAlign w:val="center"/>
            <w:tcMar>
              <w:top w:w="80" w:type="dxa"/>
              <w:start w:w="120" w:type="dxa"/>
              <w:bottom w:w="80" w:type="dxa"/>
              <w:end w:w="120" w:type="dxa"/>
            </w:tcMar>
          </w:tcPr>
          <w:p>
            <w:pPr>
              <w:spacing w:after="0"/>
            </w:pPr>
            <w:r>
              <w:rPr>
                <w:rFonts w:ascii="Calibri" w:hAnsi="Calibri"/>
                <w:color w:val="1F2937"/>
                <w:sz w:val="19"/>
              </w:rPr>
              <w:t>Mapa y UI</w:t>
            </w:r>
          </w:p>
        </w:tc>
        <w:tc>
          <w:tcPr>
            <w:tcW w:type="dxa" w:w="4780"/>
            <w:vAlign w:val="center"/>
            <w:tcMar>
              <w:top w:w="80" w:type="dxa"/>
              <w:start w:w="120" w:type="dxa"/>
              <w:bottom w:w="80" w:type="dxa"/>
              <w:end w:w="120" w:type="dxa"/>
            </w:tcMar>
          </w:tcPr>
          <w:p>
            <w:pPr>
              <w:spacing w:after="0"/>
            </w:pPr>
            <w:r>
              <w:rPr>
                <w:rFonts w:ascii="Calibri" w:hAnsi="Calibri"/>
                <w:color w:val="1F2937"/>
                <w:sz w:val="19"/>
              </w:rPr>
              <w:t>MapLibre muestra solo halos verdes de zonas frescas en este feature; la ruta azul queda reservada para navegacion normal.</w:t>
            </w:r>
          </w:p>
        </w:tc>
      </w:tr>
    </w:tbl>
    <w:p>
      <w:pPr>
        <w:spacing w:before="0" w:after="80" w:line="264" w:lineRule="auto"/>
      </w:pPr>
    </w:p>
    <w:p>
      <w:pPr>
        <w:pStyle w:val="Heading1"/>
        <w:spacing w:before="320" w:after="160"/>
      </w:pPr>
      <w:r>
        <w:rPr>
          <w:rFonts w:ascii="Calibri" w:hAnsi="Calibri"/>
          <w:b/>
          <w:color w:val="004574"/>
          <w:sz w:val="32"/>
        </w:rPr>
        <w:t>Comportamiento de Usuario Cerrado</w:t>
      </w:r>
    </w:p>
    <w:p>
      <w:pPr>
        <w:spacing w:before="0" w:after="120" w:line="264" w:lineRule="auto"/>
      </w:pPr>
      <w:r>
        <w:rPr>
          <w:rFonts w:ascii="Calibri" w:hAnsi="Calibri"/>
          <w:color w:val="1F2937"/>
          <w:sz w:val="22"/>
        </w:rPr>
        <w:t>La funcionalidad quedo expresada como busqueda de zonas verdes para que una persona del comun entienda que el resultado puede venir de arboles, parques o areas verdes mapeadas. El radio operativo del feature quedo en 800 metros para evitar pintar demasiada informacion y mantener la consulta rapida.</w:t>
      </w:r>
    </w:p>
    <w:tbl>
      <w:tblPr>
        <w:tblStyle w:val="TableGrid"/>
        <w:tblW w:type="dxa" w:w="9360"/>
        <w:tblLayout w:type="fixed"/>
        <w:tblLook w:firstColumn="1" w:firstRow="1" w:lastColumn="0" w:lastRow="0" w:noHBand="0" w:noVBand="1" w:val="04A0"/>
        <w:jc w:val="left"/>
        <w:tblInd w:w="120" w:type="dxa"/>
        <w:tblInd w:w="120" w:type="dxa"/>
      </w:tblPr>
      <w:tblGrid>
        <w:gridCol w:w="2400"/>
        <w:gridCol w:w="6960"/>
      </w:tblGrid>
      <w:tr>
        <w:tc>
          <w:tcPr>
            <w:tcW w:type="dxa" w:w="2400"/>
            <w:vAlign w:val="center"/>
            <w:tcMar>
              <w:top w:w="80" w:type="dxa"/>
              <w:start w:w="120" w:type="dxa"/>
              <w:bottom w:w="80" w:type="dxa"/>
              <w:end w:w="120" w:type="dxa"/>
            </w:tcMar>
            <w:shd w:fill="F2F4F7"/>
          </w:tcPr>
          <w:p>
            <w:pPr>
              <w:spacing w:after="0"/>
            </w:pPr>
            <w:r>
              <w:rPr>
                <w:rFonts w:ascii="Calibri" w:hAnsi="Calibri"/>
                <w:b/>
                <w:color w:val="004574"/>
                <w:sz w:val="20"/>
              </w:rPr>
              <w:t>Accion</w:t>
            </w:r>
          </w:p>
        </w:tc>
        <w:tc>
          <w:tcPr>
            <w:tcW w:type="dxa" w:w="6960"/>
            <w:vAlign w:val="center"/>
            <w:tcMar>
              <w:top w:w="80" w:type="dxa"/>
              <w:start w:w="120" w:type="dxa"/>
              <w:bottom w:w="80" w:type="dxa"/>
              <w:end w:w="120" w:type="dxa"/>
            </w:tcMar>
            <w:shd w:fill="F2F4F7"/>
          </w:tcPr>
          <w:p>
            <w:pPr>
              <w:spacing w:after="0"/>
            </w:pPr>
            <w:r>
              <w:rPr>
                <w:rFonts w:ascii="Calibri" w:hAnsi="Calibri"/>
                <w:b/>
                <w:color w:val="004574"/>
                <w:sz w:val="20"/>
              </w:rPr>
              <w:t>Comportamiento esperado</w:t>
            </w:r>
          </w:p>
        </w:tc>
      </w:tr>
      <w:tr>
        <w:tc>
          <w:tcPr>
            <w:tcW w:type="dxa" w:w="2400"/>
            <w:vAlign w:val="center"/>
            <w:tcMar>
              <w:top w:w="80" w:type="dxa"/>
              <w:start w:w="120" w:type="dxa"/>
              <w:bottom w:w="80" w:type="dxa"/>
              <w:end w:w="120" w:type="dxa"/>
            </w:tcMar>
          </w:tcPr>
          <w:p>
            <w:pPr>
              <w:spacing w:after="0"/>
            </w:pPr>
            <w:r>
              <w:rPr>
                <w:rFonts w:ascii="Calibri" w:hAnsi="Calibri"/>
                <w:color w:val="1F2937"/>
                <w:sz w:val="19"/>
              </w:rPr>
              <w:t>Cerca de mi ubicacion</w:t>
            </w:r>
          </w:p>
        </w:tc>
        <w:tc>
          <w:tcPr>
            <w:tcW w:type="dxa" w:w="6960"/>
            <w:vAlign w:val="center"/>
            <w:tcMar>
              <w:top w:w="80" w:type="dxa"/>
              <w:start w:w="120" w:type="dxa"/>
              <w:bottom w:w="80" w:type="dxa"/>
              <w:end w:w="120" w:type="dxa"/>
            </w:tcMar>
          </w:tcPr>
          <w:p>
            <w:pPr>
              <w:spacing w:after="0"/>
            </w:pPr>
            <w:r>
              <w:rPr>
                <w:rFonts w:ascii="Calibri" w:hAnsi="Calibri"/>
                <w:color w:val="1F2937"/>
                <w:sz w:val="19"/>
              </w:rPr>
              <w:t>Usa la ubicacion activa, consulta zonas verdes en 800 m y mantiene visible el contexto GPS.</w:t>
            </w:r>
          </w:p>
        </w:tc>
      </w:tr>
      <w:tr>
        <w:tc>
          <w:tcPr>
            <w:tcW w:type="dxa" w:w="2400"/>
            <w:vAlign w:val="center"/>
            <w:tcMar>
              <w:top w:w="80" w:type="dxa"/>
              <w:start w:w="120" w:type="dxa"/>
              <w:bottom w:w="80" w:type="dxa"/>
              <w:end w:w="120" w:type="dxa"/>
            </w:tcMar>
          </w:tcPr>
          <w:p>
            <w:pPr>
              <w:spacing w:after="0"/>
            </w:pPr>
            <w:r>
              <w:rPr>
                <w:rFonts w:ascii="Calibri" w:hAnsi="Calibri"/>
                <w:color w:val="1F2937"/>
                <w:sz w:val="19"/>
              </w:rPr>
              <w:t>Buscar lugar o zona verde</w:t>
            </w:r>
          </w:p>
        </w:tc>
        <w:tc>
          <w:tcPr>
            <w:tcW w:type="dxa" w:w="6960"/>
            <w:vAlign w:val="center"/>
            <w:tcMar>
              <w:top w:w="80" w:type="dxa"/>
              <w:start w:w="120" w:type="dxa"/>
              <w:bottom w:w="80" w:type="dxa"/>
              <w:end w:w="120" w:type="dxa"/>
            </w:tcMar>
          </w:tcPr>
          <w:p>
            <w:pPr>
              <w:spacing w:after="0"/>
            </w:pPr>
            <w:r>
              <w:rPr>
                <w:rFonts w:ascii="Calibri" w:hAnsi="Calibri"/>
                <w:color w:val="1F2937"/>
                <w:sz w:val="19"/>
              </w:rPr>
              <w:t>Geocodifica el lugar, mueve el mapa al punto exacto y suspende el seguimiento GPS dentro del feature.</w:t>
            </w:r>
          </w:p>
        </w:tc>
      </w:tr>
      <w:tr>
        <w:tc>
          <w:tcPr>
            <w:tcW w:type="dxa" w:w="2400"/>
            <w:vAlign w:val="center"/>
            <w:tcMar>
              <w:top w:w="80" w:type="dxa"/>
              <w:start w:w="120" w:type="dxa"/>
              <w:bottom w:w="80" w:type="dxa"/>
              <w:end w:w="120" w:type="dxa"/>
            </w:tcMar>
          </w:tcPr>
          <w:p>
            <w:pPr>
              <w:spacing w:after="0"/>
            </w:pPr>
            <w:r>
              <w:rPr>
                <w:rFonts w:ascii="Calibri" w:hAnsi="Calibri"/>
                <w:color w:val="1F2937"/>
                <w:sz w:val="19"/>
              </w:rPr>
              <w:t>Borrar zonas verdes</w:t>
            </w:r>
          </w:p>
        </w:tc>
        <w:tc>
          <w:tcPr>
            <w:tcW w:type="dxa" w:w="6960"/>
            <w:vAlign w:val="center"/>
            <w:tcMar>
              <w:top w:w="80" w:type="dxa"/>
              <w:start w:w="120" w:type="dxa"/>
              <w:bottom w:w="80" w:type="dxa"/>
              <w:end w:w="120" w:type="dxa"/>
            </w:tcMar>
          </w:tcPr>
          <w:p>
            <w:pPr>
              <w:spacing w:after="0"/>
            </w:pPr>
            <w:r>
              <w:rPr>
                <w:rFonts w:ascii="Calibri" w:hAnsi="Calibri"/>
                <w:color w:val="1F2937"/>
                <w:sz w:val="19"/>
              </w:rPr>
              <w:t>Limpia los halos verdes del mapa y permite volver al estado anterior sin mezclar rutas.</w:t>
            </w:r>
          </w:p>
        </w:tc>
      </w:tr>
      <w:tr>
        <w:tc>
          <w:tcPr>
            <w:tcW w:type="dxa" w:w="2400"/>
            <w:vAlign w:val="center"/>
            <w:tcMar>
              <w:top w:w="80" w:type="dxa"/>
              <w:start w:w="120" w:type="dxa"/>
              <w:bottom w:w="80" w:type="dxa"/>
              <w:end w:w="120" w:type="dxa"/>
            </w:tcMar>
          </w:tcPr>
          <w:p>
            <w:pPr>
              <w:spacing w:after="0"/>
            </w:pPr>
            <w:r>
              <w:rPr>
                <w:rFonts w:ascii="Calibri" w:hAnsi="Calibri"/>
                <w:color w:val="1F2937"/>
                <w:sz w:val="19"/>
              </w:rPr>
              <w:t>Navegacion GPS normal</w:t>
            </w:r>
          </w:p>
        </w:tc>
        <w:tc>
          <w:tcPr>
            <w:tcW w:type="dxa" w:w="6960"/>
            <w:vAlign w:val="center"/>
            <w:tcMar>
              <w:top w:w="80" w:type="dxa"/>
              <w:start w:w="120" w:type="dxa"/>
              <w:bottom w:w="80" w:type="dxa"/>
              <w:end w:w="120" w:type="dxa"/>
            </w:tcMar>
          </w:tcPr>
          <w:p>
            <w:pPr>
              <w:spacing w:after="0"/>
            </w:pPr>
            <w:r>
              <w:rPr>
                <w:rFonts w:ascii="Calibri" w:hAnsi="Calibri"/>
                <w:color w:val="1F2937"/>
                <w:sz w:val="19"/>
              </w:rPr>
              <w:t>Sigue disponible para las otras funciones y conserva su linea/ruta cuando corresponde.</w:t>
            </w:r>
          </w:p>
        </w:tc>
      </w:tr>
    </w:tbl>
    <w:p>
      <w:pPr>
        <w:spacing w:before="0" w:after="80" w:line="264" w:lineRule="auto"/>
      </w:pPr>
    </w:p>
    <w:p>
      <w:pPr>
        <w:pStyle w:val="Heading1"/>
        <w:spacing w:before="320" w:after="160"/>
      </w:pPr>
      <w:r>
        <w:rPr>
          <w:rFonts w:ascii="Calibri" w:hAnsi="Calibri"/>
          <w:b/>
          <w:color w:val="004574"/>
          <w:sz w:val="32"/>
        </w:rPr>
        <w:t>Validacion y Datos</w:t>
      </w:r>
    </w:p>
    <w:tbl>
      <w:tblPr>
        <w:tblStyle w:val="TableGrid"/>
        <w:tblW w:type="dxa" w:w="9360"/>
        <w:tblLayout w:type="fixed"/>
        <w:tblLook w:firstColumn="1" w:firstRow="1" w:lastColumn="0" w:lastRow="0" w:noHBand="0" w:noVBand="1" w:val="04A0"/>
        <w:jc w:val="left"/>
        <w:tblInd w:w="120" w:type="dxa"/>
        <w:tblInd w:w="120" w:type="dxa"/>
      </w:tblPr>
      <w:tblGrid>
        <w:gridCol w:w="2780"/>
        <w:gridCol w:w="6580"/>
      </w:tblGrid>
      <w:tr>
        <w:tc>
          <w:tcPr>
            <w:tcW w:type="dxa" w:w="2780"/>
            <w:vAlign w:val="center"/>
            <w:tcMar>
              <w:top w:w="80" w:type="dxa"/>
              <w:start w:w="120" w:type="dxa"/>
              <w:bottom w:w="80" w:type="dxa"/>
              <w:end w:w="120" w:type="dxa"/>
            </w:tcMar>
            <w:shd w:fill="F2F4F7"/>
          </w:tcPr>
          <w:p>
            <w:pPr>
              <w:spacing w:after="0"/>
            </w:pPr>
            <w:r>
              <w:rPr>
                <w:rFonts w:ascii="Calibri" w:hAnsi="Calibri"/>
                <w:b/>
                <w:color w:val="004574"/>
                <w:sz w:val="20"/>
              </w:rPr>
              <w:t>Validacion</w:t>
            </w:r>
          </w:p>
        </w:tc>
        <w:tc>
          <w:tcPr>
            <w:tcW w:type="dxa" w:w="6580"/>
            <w:vAlign w:val="center"/>
            <w:tcMar>
              <w:top w:w="80" w:type="dxa"/>
              <w:start w:w="120" w:type="dxa"/>
              <w:bottom w:w="80" w:type="dxa"/>
              <w:end w:w="120" w:type="dxa"/>
            </w:tcMar>
            <w:shd w:fill="F2F4F7"/>
          </w:tcPr>
          <w:p>
            <w:pPr>
              <w:spacing w:after="0"/>
            </w:pPr>
            <w:r>
              <w:rPr>
                <w:rFonts w:ascii="Calibri" w:hAnsi="Calibri"/>
                <w:b/>
                <w:color w:val="004574"/>
                <w:sz w:val="20"/>
              </w:rPr>
              <w:t>Resultado</w:t>
            </w:r>
          </w:p>
        </w:tc>
      </w:tr>
      <w:tr>
        <w:tc>
          <w:tcPr>
            <w:tcW w:type="dxa" w:w="2780"/>
            <w:vAlign w:val="center"/>
            <w:tcMar>
              <w:top w:w="80" w:type="dxa"/>
              <w:start w:w="120" w:type="dxa"/>
              <w:bottom w:w="80" w:type="dxa"/>
              <w:end w:w="120" w:type="dxa"/>
            </w:tcMar>
          </w:tcPr>
          <w:p>
            <w:pPr>
              <w:spacing w:after="0"/>
            </w:pPr>
            <w:r>
              <w:rPr>
                <w:rFonts w:ascii="Calibri" w:hAnsi="Calibri"/>
                <w:color w:val="1F2937"/>
                <w:sz w:val="19"/>
              </w:rPr>
              <w:t>Carga Overpass</w:t>
            </w:r>
          </w:p>
        </w:tc>
        <w:tc>
          <w:tcPr>
            <w:tcW w:type="dxa" w:w="6580"/>
            <w:vAlign w:val="center"/>
            <w:tcMar>
              <w:top w:w="80" w:type="dxa"/>
              <w:start w:w="120" w:type="dxa"/>
              <w:bottom w:w="80" w:type="dxa"/>
              <w:end w:w="120" w:type="dxa"/>
            </w:tcMar>
          </w:tcPr>
          <w:p>
            <w:pPr>
              <w:spacing w:after="0"/>
            </w:pPr>
            <w:r>
              <w:rPr>
                <w:rFonts w:ascii="Calibri" w:hAnsi="Calibri"/>
                <w:color w:val="1F2937"/>
                <w:sz w:val="19"/>
              </w:rPr>
              <w:t>3675 elementos insertados/actualizados: 2693 arboles, 537 parques y 445 areas de pasto.</w:t>
            </w:r>
          </w:p>
        </w:tc>
      </w:tr>
      <w:tr>
        <w:tc>
          <w:tcPr>
            <w:tcW w:type="dxa" w:w="2780"/>
            <w:vAlign w:val="center"/>
            <w:tcMar>
              <w:top w:w="80" w:type="dxa"/>
              <w:start w:w="120" w:type="dxa"/>
              <w:bottom w:w="80" w:type="dxa"/>
              <w:end w:w="120" w:type="dxa"/>
            </w:tcMar>
          </w:tcPr>
          <w:p>
            <w:pPr>
              <w:spacing w:after="0"/>
            </w:pPr>
            <w:r>
              <w:rPr>
                <w:rFonts w:ascii="Calibri" w:hAnsi="Calibri"/>
                <w:color w:val="1F2937"/>
                <w:sz w:val="19"/>
              </w:rPr>
              <w:t>Geometrias PostGIS</w:t>
            </w:r>
          </w:p>
        </w:tc>
        <w:tc>
          <w:tcPr>
            <w:tcW w:type="dxa" w:w="6580"/>
            <w:vAlign w:val="center"/>
            <w:tcMar>
              <w:top w:w="80" w:type="dxa"/>
              <w:start w:w="120" w:type="dxa"/>
              <w:bottom w:w="80" w:type="dxa"/>
              <w:end w:w="120" w:type="dxa"/>
            </w:tcMar>
          </w:tcPr>
          <w:p>
            <w:pPr>
              <w:spacing w:after="0"/>
            </w:pPr>
            <w:r>
              <w:rPr>
                <w:rFonts w:ascii="Calibri" w:hAnsi="Calibri"/>
                <w:color w:val="1F2937"/>
                <w:sz w:val="19"/>
              </w:rPr>
              <w:t>0 geometrias invalidas detectadas en amb_green_coverage.</w:t>
            </w:r>
          </w:p>
        </w:tc>
      </w:tr>
      <w:tr>
        <w:tc>
          <w:tcPr>
            <w:tcW w:type="dxa" w:w="2780"/>
            <w:vAlign w:val="center"/>
            <w:tcMar>
              <w:top w:w="80" w:type="dxa"/>
              <w:start w:w="120" w:type="dxa"/>
              <w:bottom w:w="80" w:type="dxa"/>
              <w:end w:w="120" w:type="dxa"/>
            </w:tcMar>
          </w:tcPr>
          <w:p>
            <w:pPr>
              <w:spacing w:after="0"/>
            </w:pPr>
            <w:r>
              <w:rPr>
                <w:rFonts w:ascii="Calibri" w:hAnsi="Calibri"/>
                <w:color w:val="1F2937"/>
                <w:sz w:val="19"/>
              </w:rPr>
              <w:t>API de zonas verdes</w:t>
            </w:r>
          </w:p>
        </w:tc>
        <w:tc>
          <w:tcPr>
            <w:tcW w:type="dxa" w:w="6580"/>
            <w:vAlign w:val="center"/>
            <w:tcMar>
              <w:top w:w="80" w:type="dxa"/>
              <w:start w:w="120" w:type="dxa"/>
              <w:bottom w:w="80" w:type="dxa"/>
              <w:end w:w="120" w:type="dxa"/>
            </w:tcMar>
          </w:tcPr>
          <w:p>
            <w:pPr>
              <w:spacing w:after="0"/>
            </w:pPr>
            <w:r>
              <w:rPr>
                <w:rFonts w:ascii="Calibri" w:hAnsi="Calibri"/>
                <w:color w:val="1F2937"/>
                <w:sz w:val="19"/>
              </w:rPr>
              <w:t>GET /api/thermal-comfort/green-coverage devuelve GeoJSON filtrado por radio.</w:t>
            </w:r>
          </w:p>
        </w:tc>
      </w:tr>
      <w:tr>
        <w:tc>
          <w:tcPr>
            <w:tcW w:type="dxa" w:w="2780"/>
            <w:vAlign w:val="center"/>
            <w:tcMar>
              <w:top w:w="80" w:type="dxa"/>
              <w:start w:w="120" w:type="dxa"/>
              <w:bottom w:w="80" w:type="dxa"/>
              <w:end w:w="120" w:type="dxa"/>
            </w:tcMar>
          </w:tcPr>
          <w:p>
            <w:pPr>
              <w:spacing w:after="0"/>
            </w:pPr>
            <w:r>
              <w:rPr>
                <w:rFonts w:ascii="Calibri" w:hAnsi="Calibri"/>
                <w:color w:val="1F2937"/>
                <w:sz w:val="19"/>
              </w:rPr>
              <w:t>API de navegacion</w:t>
            </w:r>
          </w:p>
        </w:tc>
        <w:tc>
          <w:tcPr>
            <w:tcW w:type="dxa" w:w="6580"/>
            <w:vAlign w:val="center"/>
            <w:tcMar>
              <w:top w:w="80" w:type="dxa"/>
              <w:start w:w="120" w:type="dxa"/>
              <w:bottom w:w="80" w:type="dxa"/>
              <w:end w:w="120" w:type="dxa"/>
            </w:tcMar>
          </w:tcPr>
          <w:p>
            <w:pPr>
              <w:spacing w:after="0"/>
            </w:pPr>
            <w:r>
              <w:rPr>
                <w:rFonts w:ascii="Calibri" w:hAnsi="Calibri"/>
                <w:color w:val="1F2937"/>
                <w:sz w:val="19"/>
              </w:rPr>
              <w:t>POST /api/navigation/route conserva respuesta peatonal y agrega shadeSegments cuando aplica.</w:t>
            </w:r>
          </w:p>
        </w:tc>
      </w:tr>
      <w:tr>
        <w:tc>
          <w:tcPr>
            <w:tcW w:type="dxa" w:w="2780"/>
            <w:vAlign w:val="center"/>
            <w:tcMar>
              <w:top w:w="80" w:type="dxa"/>
              <w:start w:w="120" w:type="dxa"/>
              <w:bottom w:w="80" w:type="dxa"/>
              <w:end w:w="120" w:type="dxa"/>
            </w:tcMar>
          </w:tcPr>
          <w:p>
            <w:pPr>
              <w:spacing w:after="0"/>
            </w:pPr>
            <w:r>
              <w:rPr>
                <w:rFonts w:ascii="Calibri" w:hAnsi="Calibri"/>
                <w:color w:val="1F2937"/>
                <w:sz w:val="19"/>
              </w:rPr>
              <w:t>Pruebas frontend</w:t>
            </w:r>
          </w:p>
        </w:tc>
        <w:tc>
          <w:tcPr>
            <w:tcW w:type="dxa" w:w="6580"/>
            <w:vAlign w:val="center"/>
            <w:tcMar>
              <w:top w:w="80" w:type="dxa"/>
              <w:start w:w="120" w:type="dxa"/>
              <w:bottom w:w="80" w:type="dxa"/>
              <w:end w:w="120" w:type="dxa"/>
            </w:tcMar>
          </w:tcPr>
          <w:p>
            <w:pPr>
              <w:spacing w:after="0"/>
            </w:pPr>
            <w:r>
              <w:rPr>
                <w:rFonts w:ascii="Calibri" w:hAnsi="Calibri"/>
                <w:color w:val="1F2937"/>
                <w:sz w:val="19"/>
              </w:rPr>
              <w:t>Jest enfocado y type-check ejecutados durante el cierre funcional.</w:t>
            </w:r>
          </w:p>
        </w:tc>
      </w:tr>
    </w:tbl>
    <w:p>
      <w:pPr>
        <w:spacing w:before="0" w:after="80" w:line="264" w:lineRule="auto"/>
      </w:pPr>
    </w:p>
    <w:p>
      <w:pPr>
        <w:pStyle w:val="Heading1"/>
        <w:spacing w:before="320" w:after="160"/>
      </w:pPr>
      <w:r>
        <w:rPr>
          <w:rFonts w:ascii="Calibri" w:hAnsi="Calibri"/>
          <w:b/>
          <w:color w:val="004574"/>
          <w:sz w:val="32"/>
        </w:rPr>
        <w:t>Identidad Visual y Reglas Tecnicas</w:t>
      </w:r>
    </w:p>
    <w:p>
      <w:pPr>
        <w:spacing w:before="0" w:after="120" w:line="264" w:lineRule="auto"/>
      </w:pPr>
      <w:r>
        <w:rPr>
          <w:rFonts w:ascii="Calibri" w:hAnsi="Calibri"/>
          <w:color w:val="1F2937"/>
          <w:sz w:val="22"/>
        </w:rPr>
        <w:t>Se respeto la identidad de QuillaMap usando Azul Tiburon #004574 como color de interfaz y Dorado Arena #D4AF37 para hitos culturales. El azul #1E3A8A queda prohibido para esta funcionalidad. El procesamiento se mantiene limitado al recorte del AMB para reducir memoria y tiempos de preparacion del motor.</w:t>
      </w:r>
    </w:p>
    <w:p>
      <w:pPr>
        <w:pStyle w:val="Heading1"/>
        <w:spacing w:before="320" w:after="160"/>
      </w:pPr>
      <w:r>
        <w:rPr>
          <w:rFonts w:ascii="Calibri" w:hAnsi="Calibri"/>
          <w:b/>
          <w:color w:val="004574"/>
          <w:sz w:val="32"/>
        </w:rPr>
        <w:t>Backlog y Decisiones de Producto</w:t>
      </w:r>
    </w:p>
    <w:tbl>
      <w:tblPr>
        <w:tblStyle w:val="TableGrid"/>
        <w:tblW w:type="dxa" w:w="9360"/>
        <w:tblLayout w:type="fixed"/>
        <w:tblLook w:firstColumn="1" w:firstRow="1" w:lastColumn="0" w:lastRow="0" w:noHBand="0" w:noVBand="1" w:val="04A0"/>
        <w:jc w:val="left"/>
        <w:tblInd w:w="120" w:type="dxa"/>
        <w:tblInd w:w="120" w:type="dxa"/>
      </w:tblPr>
      <w:tblGrid>
        <w:gridCol w:w="2520"/>
        <w:gridCol w:w="1900"/>
        <w:gridCol w:w="4940"/>
      </w:tblGrid>
      <w:tr>
        <w:tc>
          <w:tcPr>
            <w:tcW w:type="dxa" w:w="2520"/>
            <w:vAlign w:val="center"/>
            <w:tcMar>
              <w:top w:w="80" w:type="dxa"/>
              <w:start w:w="120" w:type="dxa"/>
              <w:bottom w:w="80" w:type="dxa"/>
              <w:end w:w="120" w:type="dxa"/>
            </w:tcMar>
            <w:shd w:fill="FFF6D8"/>
          </w:tcPr>
          <w:p>
            <w:pPr>
              <w:spacing w:after="0"/>
            </w:pPr>
            <w:r>
              <w:rPr>
                <w:rFonts w:ascii="Calibri" w:hAnsi="Calibri"/>
                <w:b/>
                <w:color w:val="004574"/>
                <w:sz w:val="20"/>
              </w:rPr>
              <w:t>Funcionalidad</w:t>
            </w:r>
          </w:p>
        </w:tc>
        <w:tc>
          <w:tcPr>
            <w:tcW w:type="dxa" w:w="1900"/>
            <w:vAlign w:val="center"/>
            <w:tcMar>
              <w:top w:w="80" w:type="dxa"/>
              <w:start w:w="120" w:type="dxa"/>
              <w:bottom w:w="80" w:type="dxa"/>
              <w:end w:w="120" w:type="dxa"/>
            </w:tcMar>
            <w:shd w:fill="FFF6D8"/>
          </w:tcPr>
          <w:p>
            <w:pPr>
              <w:spacing w:after="0"/>
            </w:pPr>
            <w:r>
              <w:rPr>
                <w:rFonts w:ascii="Calibri" w:hAnsi="Calibri"/>
                <w:b/>
                <w:color w:val="004574"/>
                <w:sz w:val="20"/>
              </w:rPr>
              <w:t>Estado</w:t>
            </w:r>
          </w:p>
        </w:tc>
        <w:tc>
          <w:tcPr>
            <w:tcW w:type="dxa" w:w="4940"/>
            <w:vAlign w:val="center"/>
            <w:tcMar>
              <w:top w:w="80" w:type="dxa"/>
              <w:start w:w="120" w:type="dxa"/>
              <w:bottom w:w="80" w:type="dxa"/>
              <w:end w:w="120" w:type="dxa"/>
            </w:tcMar>
            <w:shd w:fill="FFF6D8"/>
          </w:tcPr>
          <w:p>
            <w:pPr>
              <w:spacing w:after="0"/>
            </w:pPr>
            <w:r>
              <w:rPr>
                <w:rFonts w:ascii="Calibri" w:hAnsi="Calibri"/>
                <w:b/>
                <w:color w:val="004574"/>
                <w:sz w:val="20"/>
              </w:rPr>
              <w:t>Nota para proximos ciclos</w:t>
            </w:r>
          </w:p>
        </w:tc>
      </w:tr>
      <w:tr>
        <w:tc>
          <w:tcPr>
            <w:tcW w:type="dxa" w:w="2520"/>
            <w:vAlign w:val="center"/>
            <w:tcMar>
              <w:top w:w="80" w:type="dxa"/>
              <w:start w:w="120" w:type="dxa"/>
              <w:bottom w:w="80" w:type="dxa"/>
              <w:end w:w="120" w:type="dxa"/>
            </w:tcMar>
          </w:tcPr>
          <w:p>
            <w:pPr>
              <w:spacing w:after="0"/>
            </w:pPr>
            <w:r>
              <w:rPr>
                <w:rFonts w:ascii="Calibri" w:hAnsi="Calibri"/>
                <w:color w:val="1F2937"/>
                <w:sz w:val="19"/>
              </w:rPr>
              <w:t>Gestion de Evidencia Multimedia</w:t>
            </w:r>
          </w:p>
        </w:tc>
        <w:tc>
          <w:tcPr>
            <w:tcW w:type="dxa" w:w="1900"/>
            <w:vAlign w:val="center"/>
            <w:tcMar>
              <w:top w:w="80" w:type="dxa"/>
              <w:start w:w="120" w:type="dxa"/>
              <w:bottom w:w="80" w:type="dxa"/>
              <w:end w:w="120" w:type="dxa"/>
            </w:tcMar>
          </w:tcPr>
          <w:p>
            <w:pPr>
              <w:spacing w:after="0"/>
            </w:pPr>
            <w:r>
              <w:rPr>
                <w:rFonts w:ascii="Calibri" w:hAnsi="Calibri"/>
                <w:color w:val="1F2937"/>
                <w:sz w:val="19"/>
              </w:rPr>
              <w:t>Proximamente</w:t>
            </w:r>
          </w:p>
        </w:tc>
        <w:tc>
          <w:tcPr>
            <w:tcW w:type="dxa" w:w="4940"/>
            <w:vAlign w:val="center"/>
            <w:tcMar>
              <w:top w:w="80" w:type="dxa"/>
              <w:start w:w="120" w:type="dxa"/>
              <w:bottom w:w="80" w:type="dxa"/>
              <w:end w:w="120" w:type="dxa"/>
            </w:tcMar>
          </w:tcPr>
          <w:p>
            <w:pPr>
              <w:spacing w:after="0"/>
            </w:pPr>
            <w:r>
              <w:rPr>
                <w:rFonts w:ascii="Calibri" w:hAnsi="Calibri"/>
                <w:color w:val="1F2937"/>
                <w:sz w:val="19"/>
              </w:rPr>
              <w:t>Integrar Supabase Storage para adjuntar fotos reales a reportes de incidentes o zonas de sombra.</w:t>
            </w:r>
          </w:p>
        </w:tc>
      </w:tr>
      <w:tr>
        <w:tc>
          <w:tcPr>
            <w:tcW w:type="dxa" w:w="2520"/>
            <w:vAlign w:val="center"/>
            <w:tcMar>
              <w:top w:w="80" w:type="dxa"/>
              <w:start w:w="120" w:type="dxa"/>
              <w:bottom w:w="80" w:type="dxa"/>
              <w:end w:w="120" w:type="dxa"/>
            </w:tcMar>
          </w:tcPr>
          <w:p>
            <w:pPr>
              <w:spacing w:after="0"/>
            </w:pPr>
            <w:r>
              <w:rPr>
                <w:rFonts w:ascii="Calibri" w:hAnsi="Calibri"/>
                <w:color w:val="1F2937"/>
                <w:sz w:val="19"/>
              </w:rPr>
              <w:t>Boton S.O.S.</w:t>
            </w:r>
          </w:p>
        </w:tc>
        <w:tc>
          <w:tcPr>
            <w:tcW w:type="dxa" w:w="1900"/>
            <w:vAlign w:val="center"/>
            <w:tcMar>
              <w:top w:w="80" w:type="dxa"/>
              <w:start w:w="120" w:type="dxa"/>
              <w:bottom w:w="80" w:type="dxa"/>
              <w:end w:w="120" w:type="dxa"/>
            </w:tcMar>
          </w:tcPr>
          <w:p>
            <w:pPr>
              <w:spacing w:after="0"/>
            </w:pPr>
            <w:r>
              <w:rPr>
                <w:rFonts w:ascii="Calibri" w:hAnsi="Calibri"/>
                <w:color w:val="1F2937"/>
                <w:sz w:val="19"/>
              </w:rPr>
              <w:t>Deprecado / descartado</w:t>
            </w:r>
          </w:p>
        </w:tc>
        <w:tc>
          <w:tcPr>
            <w:tcW w:type="dxa" w:w="4940"/>
            <w:vAlign w:val="center"/>
            <w:tcMar>
              <w:top w:w="80" w:type="dxa"/>
              <w:start w:w="120" w:type="dxa"/>
              <w:bottom w:w="80" w:type="dxa"/>
              <w:end w:w="120" w:type="dxa"/>
            </w:tcMar>
          </w:tcPr>
          <w:p>
            <w:pPr>
              <w:spacing w:after="0"/>
            </w:pPr>
            <w:r>
              <w:rPr>
                <w:rFonts w:ascii="Calibri" w:hAnsi="Calibri"/>
                <w:color w:val="1F2937"/>
                <w:sz w:val="19"/>
              </w:rPr>
              <w:t>No continua dentro del alcance actual; implica responsabilidad operativa de emergencia que no se validara en esta fase.</w:t>
            </w:r>
          </w:p>
        </w:tc>
      </w:tr>
      <w:tr>
        <w:tc>
          <w:tcPr>
            <w:tcW w:type="dxa" w:w="2520"/>
            <w:vAlign w:val="center"/>
            <w:tcMar>
              <w:top w:w="80" w:type="dxa"/>
              <w:start w:w="120" w:type="dxa"/>
              <w:bottom w:w="80" w:type="dxa"/>
              <w:end w:w="120" w:type="dxa"/>
            </w:tcMar>
          </w:tcPr>
          <w:p>
            <w:pPr>
              <w:spacing w:after="0"/>
            </w:pPr>
            <w:r>
              <w:rPr>
                <w:rFonts w:ascii="Calibri" w:hAnsi="Calibri"/>
                <w:color w:val="1F2937"/>
                <w:sz w:val="19"/>
              </w:rPr>
              <w:t>Mapas de Calor de Seguridad</w:t>
            </w:r>
          </w:p>
        </w:tc>
        <w:tc>
          <w:tcPr>
            <w:tcW w:type="dxa" w:w="1900"/>
            <w:vAlign w:val="center"/>
            <w:tcMar>
              <w:top w:w="80" w:type="dxa"/>
              <w:start w:w="120" w:type="dxa"/>
              <w:bottom w:w="80" w:type="dxa"/>
              <w:end w:w="120" w:type="dxa"/>
            </w:tcMar>
          </w:tcPr>
          <w:p>
            <w:pPr>
              <w:spacing w:after="0"/>
            </w:pPr>
            <w:r>
              <w:rPr>
                <w:rFonts w:ascii="Calibri" w:hAnsi="Calibri"/>
                <w:color w:val="1F2937"/>
                <w:sz w:val="19"/>
              </w:rPr>
              <w:t>Proximamente</w:t>
            </w:r>
          </w:p>
        </w:tc>
        <w:tc>
          <w:tcPr>
            <w:tcW w:type="dxa" w:w="4940"/>
            <w:vAlign w:val="center"/>
            <w:tcMar>
              <w:top w:w="80" w:type="dxa"/>
              <w:start w:w="120" w:type="dxa"/>
              <w:bottom w:w="80" w:type="dxa"/>
              <w:end w:w="120" w:type="dxa"/>
            </w:tcMar>
          </w:tcPr>
          <w:p>
            <w:pPr>
              <w:spacing w:after="0"/>
            </w:pPr>
            <w:r>
              <w:rPr>
                <w:rFonts w:ascii="Calibri" w:hAnsi="Calibri"/>
                <w:color w:val="1F2937"/>
                <w:sz w:val="19"/>
              </w:rPr>
              <w:t>Extender Modo Sombra con capas visuales de zonas de riesgo civil.</w:t>
            </w:r>
          </w:p>
        </w:tc>
      </w:tr>
      <w:tr>
        <w:tc>
          <w:tcPr>
            <w:tcW w:type="dxa" w:w="2520"/>
            <w:vAlign w:val="center"/>
            <w:tcMar>
              <w:top w:w="80" w:type="dxa"/>
              <w:start w:w="120" w:type="dxa"/>
              <w:bottom w:w="80" w:type="dxa"/>
              <w:end w:w="120" w:type="dxa"/>
            </w:tcMar>
          </w:tcPr>
          <w:p>
            <w:pPr>
              <w:spacing w:after="0"/>
            </w:pPr>
            <w:r>
              <w:rPr>
                <w:rFonts w:ascii="Calibri" w:hAnsi="Calibri"/>
                <w:color w:val="1F2937"/>
                <w:sz w:val="19"/>
              </w:rPr>
              <w:t>Refinamiento de Datos de Transito</w:t>
            </w:r>
          </w:p>
        </w:tc>
        <w:tc>
          <w:tcPr>
            <w:tcW w:type="dxa" w:w="1900"/>
            <w:vAlign w:val="center"/>
            <w:tcMar>
              <w:top w:w="80" w:type="dxa"/>
              <w:start w:w="120" w:type="dxa"/>
              <w:bottom w:w="80" w:type="dxa"/>
              <w:end w:w="120" w:type="dxa"/>
            </w:tcMar>
          </w:tcPr>
          <w:p>
            <w:pPr>
              <w:spacing w:after="0"/>
            </w:pPr>
            <w:r>
              <w:rPr>
                <w:rFonts w:ascii="Calibri" w:hAnsi="Calibri"/>
                <w:color w:val="1F2937"/>
                <w:sz w:val="19"/>
              </w:rPr>
              <w:t>Se examinara al final</w:t>
            </w:r>
          </w:p>
        </w:tc>
        <w:tc>
          <w:tcPr>
            <w:tcW w:type="dxa" w:w="4940"/>
            <w:vAlign w:val="center"/>
            <w:tcMar>
              <w:top w:w="80" w:type="dxa"/>
              <w:start w:w="120" w:type="dxa"/>
              <w:bottom w:w="80" w:type="dxa"/>
              <w:end w:w="120" w:type="dxa"/>
            </w:tcMar>
          </w:tcPr>
          <w:p>
            <w:pPr>
              <w:spacing w:after="0"/>
            </w:pPr>
            <w:r>
              <w:rPr>
                <w:rFonts w:ascii="Calibri" w:hAnsi="Calibri"/>
                <w:color w:val="1F2937"/>
                <w:sz w:val="19"/>
              </w:rPr>
              <w:t>Quedan 18 rutas por integrar cuando existan fuentes actualizadas del AMB, incluyendo operadores como Coochofal y Cootrab.</w:t>
            </w:r>
          </w:p>
        </w:tc>
      </w:tr>
      <w:tr>
        <w:tc>
          <w:tcPr>
            <w:tcW w:type="dxa" w:w="2520"/>
            <w:vAlign w:val="center"/>
            <w:tcMar>
              <w:top w:w="80" w:type="dxa"/>
              <w:start w:w="120" w:type="dxa"/>
              <w:bottom w:w="80" w:type="dxa"/>
              <w:end w:w="120" w:type="dxa"/>
            </w:tcMar>
          </w:tcPr>
          <w:p>
            <w:pPr>
              <w:spacing w:after="0"/>
            </w:pPr>
            <w:r>
              <w:rPr>
                <w:rFonts w:ascii="Calibri" w:hAnsi="Calibri"/>
                <w:color w:val="1F2937"/>
                <w:sz w:val="19"/>
              </w:rPr>
              <w:t>Alertas WebSockets</w:t>
            </w:r>
          </w:p>
        </w:tc>
        <w:tc>
          <w:tcPr>
            <w:tcW w:type="dxa" w:w="1900"/>
            <w:vAlign w:val="center"/>
            <w:tcMar>
              <w:top w:w="80" w:type="dxa"/>
              <w:start w:w="120" w:type="dxa"/>
              <w:bottom w:w="80" w:type="dxa"/>
              <w:end w:w="120" w:type="dxa"/>
            </w:tcMar>
          </w:tcPr>
          <w:p>
            <w:pPr>
              <w:spacing w:after="0"/>
            </w:pPr>
            <w:r>
              <w:rPr>
                <w:rFonts w:ascii="Calibri" w:hAnsi="Calibri"/>
                <w:color w:val="1F2937"/>
                <w:sz w:val="19"/>
              </w:rPr>
              <w:t>Se examinara al final</w:t>
            </w:r>
          </w:p>
        </w:tc>
        <w:tc>
          <w:tcPr>
            <w:tcW w:type="dxa" w:w="4940"/>
            <w:vAlign w:val="center"/>
            <w:tcMar>
              <w:top w:w="80" w:type="dxa"/>
              <w:start w:w="120" w:type="dxa"/>
              <w:bottom w:w="80" w:type="dxa"/>
              <w:end w:w="120" w:type="dxa"/>
            </w:tcMar>
          </w:tcPr>
          <w:p>
            <w:pPr>
              <w:spacing w:after="0"/>
            </w:pPr>
            <w:r>
              <w:rPr>
                <w:rFonts w:ascii="Calibri" w:hAnsi="Calibri"/>
                <w:color w:val="1F2937"/>
                <w:sz w:val="19"/>
              </w:rPr>
              <w:t>Notificaciones en tiempo real para arroyos activos mediante Socket.io; se deja para la etapa final.</w:t>
            </w:r>
          </w:p>
        </w:tc>
      </w:tr>
    </w:tbl>
    <w:p>
      <w:pPr>
        <w:spacing w:before="0" w:after="80" w:line="264" w:lineRule="auto"/>
      </w:pPr>
    </w:p>
    <w:p>
      <w:pPr>
        <w:pStyle w:val="Heading1"/>
        <w:spacing w:before="320" w:after="160"/>
      </w:pPr>
      <w:r>
        <w:rPr>
          <w:rFonts w:ascii="Calibri" w:hAnsi="Calibri"/>
          <w:b/>
          <w:color w:val="004574"/>
          <w:sz w:val="32"/>
        </w:rPr>
        <w:t>Cierre</w:t>
      </w:r>
    </w:p>
    <w:p>
      <w:pPr>
        <w:spacing w:before="0" w:after="120" w:line="264" w:lineRule="auto"/>
      </w:pPr>
      <w:r>
        <w:rPr>
          <w:rFonts w:ascii="Calibri" w:hAnsi="Calibri"/>
          <w:color w:val="1F2937"/>
          <w:sz w:val="22"/>
        </w:rPr>
        <w:t>Con este hito, QuillaMap queda con una base util para orientar al peaton hacia zonas verdes cercanas sin mezclar la experiencia con navegacion tradicional. La siguiente fase recomendada es fortalecer la evidencia comunitaria con multimedia antes de ampliar capas de seguridad o notificaciones.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Modo Peaton - Zonas verdes y confort termico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5F6B7A"/>
        <w:sz w:val="18"/>
      </w:rPr>
      <w:t>QuillaMap | Bitacora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57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57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