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
        <w:jc w:val="center"/>
      </w:pPr>
      <w:r>
        <w:t xml:space="preserve">The Pangenome as Substrate: Why Its Future Lies in What the Graph Lets Us Do, Not Only in What It Records</w:t>
      </w:r>
    </w:p>
    <w:p>
      <w:pPr>
        <w:spacing w:after="160" w:line="276"/>
        <w:jc w:val="left"/>
      </w:pPr>
      <w:r>
        <w:rPr>
          <w:i/>
          <w:iCs/>
        </w:rPr>
        <w:t xml:space="preserve">A Perspective on pangenomics and its trajectory.</w:t>
      </w:r>
    </w:p>
    <w:p>
      <w:pPr>
        <w:pBdr>
          <w:bottom w:val="single" w:color="BBBBBB" w:sz="6" w:space="1"/>
        </w:pBdr>
        <w:spacing w:after="160" w:before="120"/>
      </w:pPr>
    </w:p>
    <w:p>
      <w:pPr>
        <w:pStyle w:val="Heading1"/>
        <w:spacing w:after="140" w:before="280"/>
      </w:pPr>
      <w:r>
        <w:t xml:space="preserve">Standfirst</w:t>
      </w:r>
    </w:p>
    <w:p>
      <w:pPr>
        <w:spacing w:after="160" w:line="276"/>
        <w:jc w:val="left"/>
      </w:pPr>
      <w:r>
        <w:t xml:space="preserve">A pangenome is usually introduced as a fix for a technical problem: the field relied on a single reference, that reference distorted biological inference, and a collection of genomes promised to reduce the distortion. That account is accurate, and the improved-reference framing it implies is a fair one. But it captures only one of the things a pangenome is. A pangenome serves two purposes at once: it is a </w:t>
      </w:r>
      <w:r>
        <w:rPr>
          <w:i/>
          <w:iCs/>
        </w:rPr>
        <w:t xml:space="preserve">representation</w:t>
      </w:r>
      <w:r>
        <w:t xml:space="preserve"> of evolutionary history, and it is an </w:t>
      </w:r>
      <w:r>
        <w:rPr>
          <w:i/>
          <w:iCs/>
        </w:rPr>
        <w:t xml:space="preserve">operational resource</w:t>
      </w:r>
      <w:r>
        <w:t xml:space="preserve"> for performing genomics on individuals. Much of the field's vocabulary, construction choices, and open problems follow from one or the other, and both matter. My aim in this Perspective is to draw out the second, because it is the one most easily lost from view when a pangenome is described mainly as a more complete reference. In this framing the graph's deepest value is as a substrate: a structured, recombinable store of sequence that can be queried, personalized, and used as the working reference for analysis. Its future, I will suggest, lies as much in learning to compute </w:t>
      </w:r>
      <w:r>
        <w:rPr>
          <w:i/>
          <w:iCs/>
        </w:rPr>
        <w:t xml:space="preserve">on</w:t>
      </w:r>
      <w:r>
        <w:t xml:space="preserve"> that substrate as in cataloging the variation it contains.</w:t>
      </w:r>
    </w:p>
    <w:p>
      <w:pPr>
        <w:pBdr>
          <w:bottom w:val="single" w:color="BBBBBB" w:sz="6" w:space="1"/>
        </w:pBdr>
        <w:spacing w:after="160" w:before="120"/>
      </w:pPr>
    </w:p>
    <w:p>
      <w:pPr>
        <w:pStyle w:val="Heading1"/>
        <w:spacing w:after="140" w:before="280"/>
      </w:pPr>
      <w:r>
        <w:t xml:space="preserve">1. The incomplete story</w:t>
      </w:r>
    </w:p>
    <w:p>
      <w:pPr>
        <w:spacing w:after="160" w:line="276"/>
        <w:jc w:val="left"/>
      </w:pPr>
      <w:r>
        <w:t xml:space="preserve">Every account of pangenomics opens the same way. The human reference genome is not a person; it is a mosaic assembled from many donors but dominated so heavily by one that it functions, in practice, as a single linear haplotype, patched and upgraded across two decades. Whatever its merits, it established one coordinate system and one set of alleles as the background against which all human variation would be described. Diversity, in effect, became defined relative to one idiosyncratic sequence, and measurement was quietly drawn toward that sequence wherever an individual differed from it. The pangenome removes the privileged status of that one sequence by representing many genomes at once. That is the standard motivation, and it is correct as far as it goes.</w:t>
      </w:r>
    </w:p>
    <w:p>
      <w:pPr>
        <w:spacing w:after="160" w:line="276"/>
        <w:jc w:val="left"/>
      </w:pPr>
      <w:r>
        <w:t xml:space="preserve">It does not go far enough, because it frames the pangenome as a better reference, a reference with the rough edges sanded off, when the more consequential fact is that a pangenome is not a reference at all in the sense the field has used the word. A linear reference is something you consult. You ask where a read belongs and the reference answers with a coordinate. A pangenome is something you </w:t>
      </w:r>
      <w:r>
        <w:rPr>
          <w:i/>
          <w:iCs/>
        </w:rPr>
        <w:t xml:space="preserve">use</w:t>
      </w:r>
      <w:r>
        <w:t xml:space="preserve">: a structured collection of genomic segments that can be recombined, compressed, indexed, queried, and re-strung into representations of individuals who were never part of the build. The difference is not one of degree. It is the difference between a map and the material the map is made of.</w:t>
      </w:r>
    </w:p>
    <w:p>
      <w:pPr>
        <w:spacing w:after="160" w:line="276"/>
        <w:jc w:val="left"/>
      </w:pPr>
      <w:r>
        <w:t xml:space="preserve">I find it useful to hold two purposes in mind throughout, because the entire field organizes itself along the seam between them. The first purpose is </w:t>
      </w:r>
      <w:r>
        <w:rPr>
          <w:b/>
          <w:bCs/>
        </w:rPr>
        <w:t xml:space="preserve">representational</w:t>
      </w:r>
      <w:r>
        <w:t xml:space="preserve">. A pangenome is a record of evolutionary history. Its sequences are related by descent, so the structure recovered by aligning them is not arbitrary: it carries the history that produced it, and in practice the ancestral state of almost any locus is present somewhere within it. In this mode a pangenome is an instrument for studying variation itself, for describing how a stretch of sequence relates to its own copies across a population. The second purpose is </w:t>
      </w:r>
      <w:r>
        <w:rPr>
          <w:b/>
          <w:bCs/>
        </w:rPr>
        <w:t xml:space="preserve">operational</w:t>
      </w:r>
      <w:r>
        <w:t xml:space="preserve">. A pangenome is read, but it is also manipulated. Used this way it becomes an instrument for genomics on individuals: reconstructing a genome, quantifying expression, calling structural variants, recovering function that no single reference can represent. These two purposes are not in conflict. They are the same object approached for different ends, and, as I will develop, the field's two dominant construction strategies are distinguished largely by which of the two they prioritize.</w:t>
      </w:r>
    </w:p>
    <w:p>
      <w:pPr>
        <w:spacing w:after="160" w:line="276"/>
        <w:jc w:val="left"/>
      </w:pPr>
      <w:r>
        <w:t xml:space="preserve">Where, then, does the value sit? The representational purpose has produced the field's headline outputs: the draft human pangenome, the catalogs of variants it encodes, the structural diversity it newly makes visible. These are real achievements and genuinely useful resources. The point I want to add is that a catalog, however complete, is best thought of as starting material rather than as the end product. The operational capacity is what turns it into something more: the ability to treat the graph as a substrate for analysis, to personalize it into an individual's genome, to align against it, to measure function within sequence the reference cannot express. What follows traces this through what the single reference gets wrong, what a pangenome actually is, how the two construction philosophies embody the two purposes, and what each purpose enables, before turning to the unfinished work that I think will shape the field's next decade.</w:t>
      </w:r>
    </w:p>
    <w:p>
      <w:pPr>
        <w:pBdr>
          <w:bottom w:val="single" w:color="BBBBBB" w:sz="6" w:space="1"/>
        </w:pBdr>
        <w:spacing w:after="160" w:before="120"/>
      </w:pPr>
    </w:p>
    <w:p>
      <w:pPr>
        <w:pStyle w:val="Heading1"/>
        <w:spacing w:after="140" w:before="280"/>
      </w:pPr>
      <w:r>
        <w:t xml:space="preserve">2. What the single reference gets wrong</w:t>
      </w:r>
    </w:p>
    <w:p>
      <w:pPr>
        <w:spacing w:after="160" w:line="276"/>
        <w:jc w:val="left"/>
      </w:pPr>
      <w:r>
        <w:t xml:space="preserve">To see why pangenomes arose, one has to begin not with a genome but with a workflow. Modern human genomics is, overwhelmingly, </w:t>
      </w:r>
      <w:r>
        <w:rPr>
          <w:i/>
          <w:iCs/>
        </w:rPr>
        <w:t xml:space="preserve">resequencing</w:t>
      </w:r>
      <w:r>
        <w:t xml:space="preserve">. We rarely read a person's chromosomes end to end. Intact DNA is sheared into fragments, the fragments are prepared into libraries, the libraries are read into short reads, and the reads are interpreted by placing them against a genome already in hand. That genome is the reference; reads are mapped to it, and from the resulting pile-up an individual's genomic landscape is reconstructed, where they match the reference, where they differ, and how. This reference-guided reconstruction is, in practice, what genomics is in the clinic and in most of research. The case for pangenomes is in large part a case about what this single step gets wrong.</w:t>
      </w:r>
    </w:p>
    <w:p>
      <w:pPr>
        <w:spacing w:after="160" w:line="276"/>
        <w:jc w:val="left"/>
      </w:pPr>
      <w:r>
        <w:t xml:space="preserve">What it gets wrong is bounded by a simple constraint: a linear reference can describe only what it can represent. Sequence absent from the reference, an insertion common in the population but missing from the donor, a structural rearrangement, an expanded repeat array, an entire gene, has no coordinates, and so for practical purposes does not exist as far as the analysis is concerned. Reads from such sequence map poorly, fail to map, or map confidently to the wrong place. This is reference bias: a systematic distortion in which the most variable, most interesting, and often most medically important regions of the genome are seen least well, precisely because they are the regions where an individual is least like the reference. The toolkit that defined the modern era, read mappers, variant callers, quality-control metrics, was built around the structure and content of one genome, and inherits its blind spots.</w:t>
      </w:r>
    </w:p>
    <w:p>
      <w:pPr>
        <w:spacing w:after="160" w:line="276"/>
        <w:jc w:val="left"/>
      </w:pPr>
      <w:r>
        <w:t xml:space="preserve">The field's first answer to this was not a pangenome but a catalog. The 1000 Genomes Project, dbSNP, and related efforts recorded human variation as lists of differences layered over the reference coordinates, typically stored in VCF (1000 Genomes Project Consortium, 2015). This is an important way station, and it is worth stating plainly what it already is: a reference together with a comprehensive catalog of population variants is a flattened, implicit pangenome. It concedes that one sequence is insufficient; it simply keeps the variation in a side file rather than in the genome model itself. The variant-catalog era is also where reference bias was first felt acutely, because a variant can be cataloged only if it can be expressed against the reference to begin with. The catalog inherits the reference's coordinate system and therefore inherits its blindness. You cannot list, in coordinates that do not exist, the sequence those coordinates fail to contain. The graph is, in one sense, the catalog finally moved out of the side file and into the genome model, and that relocation, not the count of variants, is what matters.</w:t>
      </w:r>
    </w:p>
    <w:p>
      <w:pPr>
        <w:spacing w:after="160" w:line="276"/>
        <w:jc w:val="left"/>
      </w:pPr>
      <w:r>
        <w:t xml:space="preserve">The completion of the human sequence sharpened rather than dissolved the problem. T2T-CHM13, the first gapless human assembly, recovered roughly 8% of the genome that GRCh38 had hidden, including centromeres and the short arms of the acrocentric chromosomes, and added almost two thousand gene predictions (Nurk et al., 2022). It is unambiguously a better linear reference, and it improves read mapping and variant detection in populations studied against it. But it is still one haplotype. Completeness is not representativeness. A perfect single genome resolves the gaps in </w:t>
      </w:r>
      <w:r>
        <w:rPr>
          <w:i/>
          <w:iCs/>
        </w:rPr>
        <w:t xml:space="preserve">a</w:t>
      </w:r>
      <w:r>
        <w:t xml:space="preserve"> genome; it does nothing about the fact that the next individual differs from it, and at exactly the loci where difference is greatest, the same bias returns. The argument for the pangenome survives the completion of the reference intact, because the argument was never really about gaps. It was about the privileged status of one sequence.</w:t>
      </w:r>
    </w:p>
    <w:p>
      <w:pPr>
        <w:pBdr>
          <w:bottom w:val="single" w:color="BBBBBB" w:sz="6" w:space="1"/>
        </w:pBdr>
        <w:spacing w:after="160" w:before="120"/>
      </w:pPr>
    </w:p>
    <w:p>
      <w:pPr>
        <w:pStyle w:val="Heading1"/>
        <w:spacing w:after="140" w:before="280"/>
      </w:pPr>
      <w:r>
        <w:t xml:space="preserve">3. What a pangenome actually is</w:t>
      </w:r>
    </w:p>
    <w:p>
      <w:pPr>
        <w:spacing w:after="160" w:line="276"/>
        <w:jc w:val="left"/>
      </w:pPr>
      <w:r>
        <w:t xml:space="preserve">A pangenome represents the genomic content of many individuals of a species at once, constructed so that sequence shared among them and sequence that varies among them are both first-class elements of the model. Where a reference answers what </w:t>
      </w:r>
      <w:r>
        <w:rPr>
          <w:i/>
          <w:iCs/>
        </w:rPr>
        <w:t xml:space="preserve">the</w:t>
      </w:r>
      <w:r>
        <w:t xml:space="preserve"> genome looks like, a pangenome answers what a </w:t>
      </w:r>
      <w:r>
        <w:rPr>
          <w:i/>
          <w:iCs/>
        </w:rPr>
        <w:t xml:space="preserve">species'</w:t>
      </w:r>
      <w:r>
        <w:t xml:space="preserve"> genome looks like in its variety. That is the definition; the more useful work is in unpacking what the definition commits us to.</w:t>
      </w:r>
    </w:p>
    <w:p>
      <w:pPr>
        <w:spacing w:after="160" w:line="276"/>
        <w:jc w:val="left"/>
      </w:pPr>
      <w:r>
        <w:t xml:space="preserve">The concept comes from microbiology, and the original framing remains the cleanest point of entry. Comparing multiple isolates of a bacterium, Tettelin and colleagues distinguished the </w:t>
      </w:r>
      <w:r>
        <w:rPr>
          <w:i/>
          <w:iCs/>
        </w:rPr>
        <w:t xml:space="preserve">core</w:t>
      </w:r>
      <w:r>
        <w:t xml:space="preserve"> genome, present in every isolate, from the </w:t>
      </w:r>
      <w:r>
        <w:rPr>
          <w:i/>
          <w:iCs/>
        </w:rPr>
        <w:t xml:space="preserve">dispensable</w:t>
      </w:r>
      <w:r>
        <w:t xml:space="preserve"> or accessory genome, present in some and absent in others, with the union of all of it forming the pan-genome (Tettelin et al., 2005). This immediately raises a quantitative question: as more isolates are sequenced, does the catalog of new genes keep growing, or does it saturate? A pangenome that keeps growing is </w:t>
      </w:r>
      <w:r>
        <w:rPr>
          <w:i/>
          <w:iCs/>
        </w:rPr>
        <w:t xml:space="preserve">open</w:t>
      </w:r>
      <w:r>
        <w:t xml:space="preserve">; one that saturates is </w:t>
      </w:r>
      <w:r>
        <w:rPr>
          <w:i/>
          <w:iCs/>
        </w:rPr>
        <w:t xml:space="preserve">closed</w:t>
      </w:r>
      <w:r>
        <w:t xml:space="preserve">, and the shape of that accumulation curve is itself a statement about a species' genomic flexibility. The gene presence-and-absence framing, and the open/closed distinction, predate any notion of a graph and still underlie how the field reasons about what a pangenome is for.</w:t>
      </w:r>
    </w:p>
    <w:p>
      <w:pPr>
        <w:spacing w:after="160" w:line="276"/>
        <w:jc w:val="left"/>
      </w:pPr>
      <w:r>
        <w:t xml:space="preserve">Beneath the data structures, a pangenome is a multiple sequence alignment: a statement of which positions across many genomes correspond. Everything else, every graph, index, and file format, is a decision about how to store, structure, and query that correspondence. This is worth holding onto, because the vocabulary of graphs can make pangenomes sound categorically new when they are, at bottom, a familiar object at unfamiliar scale. The most visible way to structure the alignment is as a </w:t>
      </w:r>
      <w:r>
        <w:rPr>
          <w:i/>
          <w:iCs/>
        </w:rPr>
        <w:t xml:space="preserve">pangenome graph</w:t>
      </w:r>
      <w:r>
        <w:t xml:space="preserve">, in which sequence shared across genomes is traversed as a common path and variation appears as branches off it (Eizenga et al., 2020). But a graph is one realization of the alignment, not a synonym for the pangenome. A pangenome need not be resolved into an explicit, genome-wide graph to be a pangenome. This is the idea of the </w:t>
      </w:r>
      <w:r>
        <w:rPr>
          <w:i/>
          <w:iCs/>
        </w:rPr>
        <w:t xml:space="preserve">implicit graph</w:t>
      </w:r>
      <w:r>
        <w:t xml:space="preserve">: the pangenome is kept as a queryable alignment, and the graph is resolved only locally, on demand, for the region of interest, without ever materializing the whole structure. It is a conceptually economical move, and, as I return to below, it is also a practical necessity for the most faithful representations, which do not scale if built genome-wide.</w:t>
      </w:r>
    </w:p>
    <w:p>
      <w:pPr>
        <w:spacing w:after="160" w:line="276"/>
        <w:jc w:val="left"/>
      </w:pPr>
      <w:r>
        <w:t xml:space="preserve">Two further commitments deserve emphasis because they do most of the conceptual work later. First, a pangenome compares </w:t>
      </w:r>
      <w:r>
        <w:rPr>
          <w:i/>
          <w:iCs/>
        </w:rPr>
        <w:t xml:space="preserve">haplotypes</w:t>
      </w:r>
      <w:r>
        <w:t xml:space="preserve">, the sequences inherited together along a single chromosome copy, rather than genotypes blurred across the two copies an individual carries. This matters most for humans, where each person is a pair of haplotypes and where assigning variation to the correct copy is essential to interpreting it. Second, because those haplotypes are related by descent, the pangenome is not merely a list of observed sequences but an encoding of the evolutionary history that produced them. The structure is observed in the present, yet present-day diversity is the product of past mutation, recombination, and drift, and that history is therefore legible in the structure.</w:t>
      </w:r>
    </w:p>
    <w:p>
      <w:pPr>
        <w:spacing w:after="160" w:line="276"/>
        <w:jc w:val="left"/>
      </w:pPr>
      <w:r>
        <w:t xml:space="preserve">The most consequential point follows from combining these. A pangenome is not only an archive of the individuals used to build it. Because it is a structured collection of segments related by descent, those segments can be re-strung along new paths to represent individuals who were never part of the build. A pangenome therefore does two things at once: it represents a population, and it provides a better representation of any single individual, including one it has never seen. That second capability, a pangenome as a recombinable collection from which non-sampled genomes can be reconstructed, is the hinge of the entire operational program, and it is what raises the pangenome from a richer reference to a working resource.</w:t>
      </w:r>
    </w:p>
    <w:p>
      <w:pPr>
        <w:pBdr>
          <w:bottom w:val="single" w:color="BBBBBB" w:sz="6" w:space="1"/>
        </w:pBdr>
        <w:spacing w:after="160" w:before="120"/>
      </w:pPr>
    </w:p>
    <w:p>
      <w:pPr>
        <w:pStyle w:val="Heading1"/>
        <w:spacing w:after="140" w:before="280"/>
      </w:pPr>
      <w:r>
        <w:t xml:space="preserve">4. Two construction philosophies, two purposes</w:t>
      </w:r>
    </w:p>
    <w:p>
      <w:pPr>
        <w:spacing w:after="160" w:line="276"/>
        <w:jc w:val="left"/>
      </w:pPr>
      <w:r>
        <w:t xml:space="preserve">Given a set of de novo assemblies, how is a pangenome built from them? Current practice offers three named tools but really two paradigms, and the split between them is not a matter of engineering taste. It is the two purposes of Section 1 made concrete in software.</w:t>
      </w:r>
    </w:p>
    <w:p>
      <w:pPr>
        <w:spacing w:after="160" w:line="276"/>
        <w:jc w:val="left"/>
      </w:pPr>
      <w:r>
        <w:t xml:space="preserve">Before the paradigms, a distinction the field reliably conflates. Reference-guided resequencing reconstructs an individual by mapping reads to an existing genome; </w:t>
      </w:r>
      <w:r>
        <w:rPr>
          <w:i/>
          <w:iCs/>
        </w:rPr>
        <w:t xml:space="preserve">de novo</w:t>
      </w:r>
      <w:r>
        <w:t xml:space="preserve"> assembly builds a genome without a reference, by overlapping and joining the reads themselves. Pangenomes sit at the seam between the two. They are built from de novo assemblies of many individuals, and once built they become the target to which future reads are mapped. The quality of everything downstream is bounded by the quality and contiguity of the input assemblies, which is why the steady improvement of long-read assembly, and the telomere-to-telomere assemblies now available for multiple human and non-human genomes, is not a side issue but the foundation the whole edifice rests on.</w:t>
      </w:r>
    </w:p>
    <w:p>
      <w:pPr>
        <w:spacing w:after="160" w:line="276"/>
        <w:jc w:val="left"/>
      </w:pPr>
      <w:r>
        <w:t xml:space="preserve">The construction algorithms succeed or fail according to the local anatomy of the sequence they are given, and that anatomy is not uniform. A chromosome carries telomeres and a centromere, satellite arrays and microsatellites, tandem duplications and copy-number arrays, transposable elements that are themselves a major source of insertion variation and self-similarity, and regions of elevated recombination. Each evolves under different rules; repetitive and self-similar regions mutate, expand, contract, and undergo gene conversion in ways unique sequence does not. The variable that governs construction is </w:t>
      </w:r>
      <w:r>
        <w:rPr>
          <w:i/>
          <w:iCs/>
        </w:rPr>
        <w:t xml:space="preserve">synteny</w:t>
      </w:r>
      <w:r>
        <w:t xml:space="preserve">, the conservation of sequence order and orientation along chromosomes between genomes. Aligning assemblies to one another is largely the act of establishing syntenic correspondence, and the breakdown of synteny in divergent or repetitive regions is precisely where construction becomes hard. Self-similarity, repeat content, copy number, and divergence are therefore not incidental complications; they are the variables that decide whether a method collapses related sequence cleanly, duplicates it spuriously, or fails to find the anchors it needs.</w:t>
      </w:r>
    </w:p>
    <w:p>
      <w:pPr>
        <w:spacing w:after="160" w:line="276"/>
        <w:jc w:val="left"/>
      </w:pPr>
      <w:r>
        <w:t xml:space="preserve">The </w:t>
      </w:r>
      <w:r>
        <w:rPr>
          <w:b/>
          <w:bCs/>
        </w:rPr>
        <w:t xml:space="preserve">Minigraph lineage</w:t>
      </w:r>
      <w:r>
        <w:t xml:space="preserve"> responds to this one way. Minigraph builds a graph by progressively adding assemblies to a growing structure, concentrating on larger structural variation and producing a relatively coarse but tractable graph (Li et al., 2020). Minigraph-Cactus extends the lineage by applying the Cactus progressive aligner on top, refining the graph to base-level resolution so that small variants as well as large ones are represented (Hickey et al., 2024). It has several defining properties. It handles divergence up to a point and then clips: where haplotypes are too diverged for the aligner to establish confident synteny, the graph cannot collapse the separate assemblies, and those unresolved stretches, carried in parallel, are removed as unusable for many purposes. There is a real ceiling on how much divergence such a graph can faithfully represent, and because the progressive aligner was not designed for cross-species work, Minigraph-Cactus pangenomes are effectively within-species objects. The method also encodes variation in a deliberately limited vocabulary of substitutions and indels. A copy-number expansion is not recognized as the reuse of a segment; the graph simply grows by laying down additional sequence, because the method is largely unaware of self-similarity. An inversion or translocation surfaces as inserted sequence rather than as the rearrangement it is. The compensating advantage is decisive: a Minigraph-Cactus graph is very nearly a directed acyclic graph, and acyclicity permits a topological sort, which permits indexing, which permits aligning reads against the graph. Minigraph-Cactus trades faithful representation of sequence structure for computational usability, and that trade is exactly what the operational purpose requires.</w:t>
      </w:r>
    </w:p>
    <w:p>
      <w:pPr>
        <w:spacing w:after="160" w:line="276"/>
        <w:jc w:val="left"/>
      </w:pPr>
      <w:r>
        <w:t xml:space="preserve">The </w:t>
      </w:r>
      <w:r>
        <w:rPr>
          <w:b/>
          <w:bCs/>
        </w:rPr>
        <w:t xml:space="preserve">PGGB paradigm</w:t>
      </w:r>
      <w:r>
        <w:t xml:space="preserve"> makes the opposite choice. The PanGenome Graph Builder computes all-versus-all alignments among the input sequences and induces a graph from them, treating all genomes symmetrically and modeling explicitly how sequence relates to itself (Garrison et al., 2024). Because it models self-similarity, it collapses repeated sequence back onto itself rather than duplicating it, so a copy-number array becomes a path that traverses a segment several times. This yields a far more faithful picture of how a genome relates to itself and to others, but it makes the graph highly cyclic. Cyclicity defeats topological sorting, which defeats the indexing on which read alignment depends, so PGGB graphs generally cannot serve as alignment targets. PGGB also scales poorly: as the number of input assemblies grows, the all-versus-all computation and the resulting structure become unwieldy. This is the practical pressure behind the implicit-graph strategy, keep the pangenome as a queryable alignment and resolve graphs locally rather than maintaining one genome-wide.</w:t>
      </w:r>
    </w:p>
    <w:p>
      <w:pPr>
        <w:spacing w:after="160" w:line="276"/>
        <w:jc w:val="left"/>
      </w:pPr>
      <w:r>
        <w:t xml:space="preserve">Stated plainly: Minigraph-Cactus is more usable and less faithful to sequence structure; PGGB is more faithful and less usable. One is the right tool for operating on genomic data through alignment; the other is the right tool for understanding the sequence itself. The division maps directly onto the two purposes. PGGB serves the representational purpose: it is built to let you study how sequence relates to its own copies. Minigraph-Cactus serves the operational purpose: it is built to be used as a working reference. Most of the human-genomics applications that follow rest on Minigraph-Cactus graphs, not because they are truer, but because they can be aligned to. It is worth noticing that many of the field's most-used applications therefore run on the </w:t>
      </w:r>
      <w:r>
        <w:rPr>
          <w:i/>
          <w:iCs/>
        </w:rPr>
        <w:t xml:space="preserve">less faithful</w:t>
      </w:r>
      <w:r>
        <w:t xml:space="preserve"> representation, because usability, not fidelity, is what operating on individuals requires.</w:t>
      </w:r>
    </w:p>
    <w:p>
      <w:pPr>
        <w:spacing w:after="160" w:line="276"/>
        <w:jc w:val="left"/>
      </w:pPr>
      <w:r>
        <w:t xml:space="preserve">One conceptual consequence of any graph deserves separate statement, because it is the source of the field's most persistent practical difficulty. A linear reference gives every base a single, universal address. A graph removes that guarantee. The question of where a variant is no longer has one answer; position becomes a matter of node identities and offsets, of which path is traversed, and of stable-coordinate conventions layered back on top. This is not a nuisance to be set aside. It is the reason linearization and surjection exist, and, as I argue in Section 8, it is the fault line along which the field's unfinished work runs.</w:t>
      </w:r>
    </w:p>
    <w:p>
      <w:pPr>
        <w:pBdr>
          <w:bottom w:val="single" w:color="BBBBBB" w:sz="6" w:space="1"/>
        </w:pBdr>
        <w:spacing w:after="160" w:before="120"/>
      </w:pPr>
    </w:p>
    <w:p>
      <w:pPr>
        <w:pStyle w:val="Heading1"/>
        <w:spacing w:after="140" w:before="280"/>
      </w:pPr>
      <w:r>
        <w:t xml:space="preserve">5. The representational purpose: studying variation itself</w:t>
      </w:r>
    </w:p>
    <w:p>
      <w:pPr>
        <w:spacing w:after="160" w:line="276"/>
        <w:jc w:val="left"/>
      </w:pPr>
      <w:r>
        <w:t xml:space="preserve">Take the first purpose on its own terms. A pangenome that holds many haplotypes is a substrate for studying variation as a phenomenon, not merely a means of analyzing a particular sample. Because its sequences are related by descent, the graph encodes phylogeny, allele frequency, and the history of structural change in a single structure. A pan-gene graph, a pangenome centered on the copies of a gene and its paralogs rather than on whole chromosomes, makes copy-number relationships directly visible and is small enough to draw and reason about, which is why it is the cleanest teaching object the field has. At genome scale, once a graph holds many haplotypes it carries allele frequencies, not merely alleles, and variation that was effectively invisible to genotyping arrays and to linear references, structural variants, repeat expansions, the presence or absence of whole segments, becomes representable and therefore testable against phenotype. The pangenome extends the reach of association genetics into exactly the classes of variation the reference-and-VCF era handled worst.</w:t>
      </w:r>
    </w:p>
    <w:p>
      <w:pPr>
        <w:spacing w:after="160" w:line="276"/>
        <w:jc w:val="left"/>
      </w:pPr>
      <w:r>
        <w:t xml:space="preserve">The representational purpose is also where non-human pangenomes earn their place, and not as an afterthought. Different species' pangenomes illuminate different facets of the same object, and they often isolate a mechanism more cleanly than the human case can. The Bovine Pangenome Consortium is assembling long-read genomes across dozens of breeds and species to replace breed-specific references with a community pangenome (Smith et al., 2023), and plant pangenomics has moved from novelty to standard practice across the major crops, where presence/absence and structural variation bear directly on agronomic traits (Schreiber et al., 2024). These efforts demonstrate the representational purpose at population and even cross-population scale.</w:t>
      </w:r>
    </w:p>
    <w:p>
      <w:pPr>
        <w:spacing w:after="160" w:line="276"/>
        <w:jc w:val="left"/>
      </w:pPr>
      <w:r>
        <w:t xml:space="preserve">The mouse is, in my view, the most instructive non-human setting for one specific reason: its haplotype space can be made </w:t>
      </w:r>
      <w:r>
        <w:rPr>
          <w:i/>
          <w:iCs/>
        </w:rPr>
        <w:t xml:space="preserve">finite and enumerable</w:t>
      </w:r>
      <w:r>
        <w:t xml:space="preserve">. In our work building graph pangenomes for the laboratory mouse, the Collaborative Cross, a panel of recombinant inbred lines descended from eight defined founder strains, fixes the genetic search space by construction. De novo mutation is rare compared with founder-introduced divergence, so the set of haplotypes a pangenome must represent is known in advance, and independently derived mosaic genotypes provide a ground truth that human pangenomes simply do not have. This is what makes the mouse the right development platform for graph-aware methods: you can ask whether a method recovers the right answer, because for once you know the right answer. The representational claim, that the graph captures the genetic evolution of a population, is something one can actually test there, by checking that founder-specific and shared variation, population structure, and allele-frequency spectra recovered from the graph match what the breeding design predicts. The lesson generalizes back to human work: the value of a representational pangenome is bounded by, and measurable against, the design that produced its haplotypes.</w:t>
      </w:r>
    </w:p>
    <w:p>
      <w:pPr>
        <w:spacing w:after="160" w:line="276"/>
        <w:jc w:val="left"/>
      </w:pPr>
      <w:r>
        <w:t xml:space="preserve">None of this is meant to diminish the representational purpose. Cataloging variation comprehensively is valuable in its own right, and the draft human pangenome's enumeration of previously hidden structural diversity is a major advance (Liao et al., 2023). My point is only about where the leverage tends to be: a catalog's worth grows as the variation it records is put to use, as it changes how an individual's data are analyzed, how a locus is interpreted, how a trait is mapped. The representational purpose builds the library; the operational purpose is what reading in the library is for.</w:t>
      </w:r>
    </w:p>
    <w:p>
      <w:pPr>
        <w:pBdr>
          <w:bottom w:val="single" w:color="BBBBBB" w:sz="6" w:space="1"/>
        </w:pBdr>
        <w:spacing w:after="160" w:before="120"/>
      </w:pPr>
    </w:p>
    <w:p>
      <w:pPr>
        <w:pStyle w:val="Heading1"/>
        <w:spacing w:after="140" w:before="280"/>
      </w:pPr>
      <w:r>
        <w:t xml:space="preserve">6. The operational purpose: the pangenome as instrument</w:t>
      </w:r>
    </w:p>
    <w:p>
      <w:pPr>
        <w:spacing w:after="160" w:line="276"/>
        <w:jc w:val="left"/>
      </w:pPr>
      <w:r>
        <w:t xml:space="preserve">The operational program begins from a hard and counterintuitive fact: a graph containing all known sequence is </w:t>
      </w:r>
      <w:r>
        <w:rPr>
          <w:i/>
          <w:iCs/>
        </w:rPr>
        <w:t xml:space="preserve">not</w:t>
      </w:r>
      <w:r>
        <w:t xml:space="preserve"> the ideal alignment target. It is tempting to assume the opposite, that more sequence can only help, but exposing an aligner to every possible allele degrades accuracy. Irrelevant sequence, meaning alleles the sample does not carry, gives reads spurious places to land and actively harms placement. The opposite error is equally damaging: relevant sequence the sample does carry cannot be placed if it is absent from the target. Alignment, properly understood, is the means by which an individual's genomic landscape is reconstructed, and that reconstruction is harmed both by missing the right content and by including the wrong content. The objective is therefore not maximal content but </w:t>
      </w:r>
      <w:r>
        <w:rPr>
          <w:i/>
          <w:iCs/>
        </w:rPr>
        <w:t xml:space="preserve">appropriate</w:t>
      </w:r>
      <w:r>
        <w:t xml:space="preserve"> content, the closest available approximation of the individual's own genome.</w:t>
      </w:r>
    </w:p>
    <w:p>
      <w:pPr>
        <w:spacing w:after="160" w:line="276"/>
        <w:jc w:val="left"/>
      </w:pPr>
      <w:r>
        <w:t xml:space="preserve">This reframing is the key that unlocks the operational purpose, and it is realized through </w:t>
      </w:r>
      <w:r>
        <w:rPr>
          <w:i/>
          <w:iCs/>
        </w:rPr>
        <w:t xml:space="preserve">pangenome personalization</w:t>
      </w:r>
      <w:r>
        <w:t xml:space="preserve">. Recall the recombinable-collection idea from Section 3: a pangenome is a library of segments from which non-sampled individuals can be reconstructed. Personalization does this concretely. By comparing the k-mers present in the graph with the k-mers present in an individual's reads, one selects the pair of traversals, the two recombinant haplotypes, through the pangenome that best represents that diploid individual (Sirén et al., 2024). Those personalized paths constitute a stitched-together draft of the person, assembled not from their reads alone but from the pangenome's library of known sequence, guided by their reads. The result is two things at once. First, it produces a compact, sample-appropriate alignment target that makes subsequent mapping substantially more accurate, the practical prerequisite for using pangenomes in real pipelines, and what mappers such as vg Giraffe exploit when they sample a per-sample subgraph before aligning (Sirén et al., 2021; Garrison et al., 2018). Second, the personalized paths are already a first-pass approximation of the individual's genome, obtained at little additional cost. That this works at all is a substantive statement about the population that built the graph: it says the individual's haplotypes are, to a good approximation, recombinations of haplotypes the graph already contains.</w:t>
      </w:r>
    </w:p>
    <w:p>
      <w:pPr>
        <w:spacing w:after="160" w:line="276"/>
        <w:jc w:val="left"/>
      </w:pPr>
      <w:r>
        <w:t xml:space="preserve">The mouse is again the cleanest demonstration, precisely because its haplotype space is enumerable. In our work, applying personalization to short-read whole-genome sequencing from recombinant inbred lines recovered each animal's diploid genome at mean concordance above 99% against the independently known founder mosaics, with the reconstruction saturating at very low coverage and remaining reproducible even in highly recombined, heterozygous outbred animals sequenced at around one-fold depth. The point is not the mouse numbers per se; it is what they prove about the mechanism. When the ancestral haplotypes of a population are explicitly represented in the graph, low-coverage sequencing is sufficient to reconstruct an individual genome, a genuinely different proposition from per-sample de novo assembly, both in cost and in what it makes routine. Personalization turns the pangenome from a fixed reference into an </w:t>
      </w:r>
      <w:r>
        <w:rPr>
          <w:i/>
          <w:iCs/>
        </w:rPr>
        <w:t xml:space="preserve">adaptive</w:t>
      </w:r>
      <w:r>
        <w:t xml:space="preserve"> one, different for every sample.</w:t>
      </w:r>
    </w:p>
    <w:p>
      <w:pPr>
        <w:spacing w:after="160" w:line="276"/>
        <w:jc w:val="left"/>
      </w:pPr>
      <w:r>
        <w:t xml:space="preserve">The same machinery extends to genotyping and to settings where assembly is impractical. k-mer-based methods such as PanGenie infer genotypes, including for structural and complex variation, directly from k-mers without conventional alignment (Ebler et al., 2022), and Locityper applies a related strategy to the targeted genotyping of complex, medically relevant loci, recovering haplotypes at genes, HLA, KIR, and other hyperpolymorphic families, that standard pipelines simply cannot resolve (Vasilinetc et al., 2025). These are instances of the same inferential idea: use the graph's library of known sequence to infer what an individual carries, rather than forcing the individual's reads onto a single reference and reading off the differences.</w:t>
      </w:r>
    </w:p>
    <w:p>
      <w:pPr>
        <w:spacing w:after="160" w:line="276"/>
        <w:jc w:val="left"/>
      </w:pPr>
      <w:r>
        <w:t xml:space="preserve">The operational payoff compounds in somatic genomics, where the stakes of reference choice are highest. Somatic variant detection is hard because true variants sit at low allele fraction against a background of germline variation and reference-induced misalignment. In our SMaHT work, aligning to a graph pangenome and, better, to a pangenome-inferred donor-specific assembly improved somatic calling toward the accuracy of a true donor assembly, and (the conceptually sharp result) filtered heterozygous germline variants </w:t>
      </w:r>
      <w:r>
        <w:rPr>
          <w:i/>
          <w:iCs/>
        </w:rPr>
        <w:t xml:space="preserve">during alignment</w:t>
      </w:r>
      <w:r>
        <w:t xml:space="preserve">, before calling, in a way that does not depend on a matched normal and is not restricted by variant type the way a panel of normals is. The personalized graph recovers somatic variation in sequence that GRCh38 represents poorly or not at all, including in satellite and copy-number-variable regions where the linear reference demonstrably underestimates mutation rate. This rests on a benchmark resource that is itself a pangenome application: the SMaHT HapMap-mixture truth sets are constructed by building a graph from the donors' individual assemblies and enumerating every variant through one consistent pipeline, which removes the circularity of benchmarks assembled from caller outputs and yields a coordinate-flexible truth set across all variant classes (Kong et al., 2025). The graph is doing operational work at both ends, generating the ground truth and improving the calls measured against it.</w:t>
      </w:r>
    </w:p>
    <w:p>
      <w:pPr>
        <w:spacing w:after="160" w:line="276"/>
        <w:jc w:val="left"/>
      </w:pPr>
      <w:r>
        <w:t xml:space="preserve">Taken together, these uses share a feature worth naming. None of personalization, adaptive alignment, low-coverage genome inference, germline filtering at the alignment step, or unbiased benchmark construction is a </w:t>
      </w:r>
      <w:r>
        <w:rPr>
          <w:i/>
          <w:iCs/>
        </w:rPr>
        <w:t xml:space="preserve">catalog</w:t>
      </w:r>
      <w:r>
        <w:t xml:space="preserve">. Each is something done </w:t>
      </w:r>
      <w:r>
        <w:rPr>
          <w:i/>
          <w:iCs/>
        </w:rPr>
        <w:t xml:space="preserve">with</w:t>
      </w:r>
      <w:r>
        <w:t xml:space="preserve"> the graph as working material, which is the sense in which the resource is more than the variation it records.</w:t>
      </w:r>
    </w:p>
    <w:p>
      <w:pPr>
        <w:pBdr>
          <w:bottom w:val="single" w:color="BBBBBB" w:sz="6" w:space="1"/>
        </w:pBdr>
        <w:spacing w:after="160" w:before="120"/>
      </w:pPr>
    </w:p>
    <w:p>
      <w:pPr>
        <w:pStyle w:val="Heading1"/>
        <w:spacing w:after="140" w:before="280"/>
      </w:pPr>
      <w:r>
        <w:t xml:space="preserve">7. Representation as a measurable variable</w:t>
      </w:r>
    </w:p>
    <w:p>
      <w:pPr>
        <w:spacing w:after="160" w:line="276"/>
        <w:jc w:val="left"/>
      </w:pPr>
      <w:r>
        <w:t xml:space="preserve">If the pangenome is to be used as an instrument, then reference choice becomes an experimental variable, and an experimental variable should be measured rather than merely asserted to be better. A recurring temptation in the field is to treat "more representative" as self-evidently superior. It usually is, but not always, and not uniformly, and the discipline of quantifying </w:t>
      </w:r>
      <w:r>
        <w:rPr>
          <w:i/>
          <w:iCs/>
        </w:rPr>
        <w:t xml:space="preserve">where</w:t>
      </w:r>
      <w:r>
        <w:t xml:space="preserve"> and </w:t>
      </w:r>
      <w:r>
        <w:rPr>
          <w:i/>
          <w:iCs/>
        </w:rPr>
        <w:t xml:space="preserve">how much</w:t>
      </w:r>
      <w:r>
        <w:t xml:space="preserve"> representation matters is, I think, as important as building the representations themselves.</w:t>
      </w:r>
    </w:p>
    <w:p>
      <w:pPr>
        <w:spacing w:after="160" w:line="276"/>
        <w:jc w:val="left"/>
      </w:pPr>
      <w:r>
        <w:t xml:space="preserve">The honest version of this accounting cuts against easy enthusiasm. In benchmarking genome choice across functional-genomics assays, chromatin accessibility, expression, methylation, chromatin conformation, using individuals with fully phased assemblies, we found that individual identity dominates the variance in functional estimates, accounting for well over half and often three-quarters of it, while the choice of reference contributes only a few percent. The average effect of representation is modest. But the effect is not random. It concentrates in regions of elevated genetic variation and structural complexity, enriched for immune, cell-surface signaling, and neuronal functions, the same categories that recur, strikingly, in the mouse work's analysis of where pangenome alignment corrects reference bias. And around two percent of accessible-chromatin signal is detectable </w:t>
      </w:r>
      <w:r>
        <w:rPr>
          <w:i/>
          <w:iCs/>
        </w:rPr>
        <w:t xml:space="preserve">only</w:t>
      </w:r>
      <w:r>
        <w:t xml:space="preserve"> against an individual's own assembly. The right way to state the case for representation is therefore not that it transforms the average measurement, but that it is decisive in a biologically concentrated tail, at exactly the loci where variation and biological consequence already coincide, and where linear-reference analyses lose signal. That is the claim worth making, and it is a defensible one.</w:t>
      </w:r>
    </w:p>
    <w:p>
      <w:pPr>
        <w:spacing w:after="160" w:line="276"/>
        <w:jc w:val="left"/>
      </w:pPr>
      <w:r>
        <w:t xml:space="preserve">Where does the distortion come from, and can it be predicted? This is the question my more recent work is built around. Reference-induced distortion of the apparent coverage landscape can be decomposed: by simulating reads from an individual's phased assembly, aligning them both to that assembly and to the linear reference, and lifting all coordinates into a common frame, one can separate the distortion that exists even when reads are aligned to the individual's own genome, the intrinsic-difficulty floor, driven by repeats and paralogy, from the distortion that the reference adds on top. The reference-induced component is the part a better reference can actually fix; the intrinsic floor is not. This is something a mappability track cannot provide, because mappability describes a property of the reference, whereas what we want is a property of how a specific individual's reads are handled when aligned to that reference. Run across the haplotypes of a diverse panel, this yields a population-scale, haplotype-resolved map of where alignment distorts the genome, and, crucially, a way to ask whether signal at any given locus is biology or artifact. The framing I find most clarifying is that distortion is a function of haplotype-to-reference divergence: because the reference is heavily one ancestry, haplotypes diverging from it, often along lines that track local ancestry, are distorted more, and predictably so. That makes representation a measurable, decomposable quantity rather than a slogan.</w:t>
      </w:r>
    </w:p>
    <w:p>
      <w:pPr>
        <w:spacing w:after="160" w:line="276"/>
        <w:jc w:val="left"/>
      </w:pPr>
      <w:r>
        <w:t xml:space="preserve">I flag two cautions here, both because they are true and because they discipline the claims. First, this line of work is at its most powerful where it is least de-risked: the decomposition is conceptually clean, but mapping distortion to clinical loci and to local ancestry at population scale is analysis that has to be done carefully, matched backgrounds, honest multiple-testing, sanity-checked ancestry calls, before the headline is earned. Second, the clinical-ancestry framing is the highest-impact and the easiest to overstate; it should be stated as a measurable dependence to be quantified, not a conclusion assumed in advance. The point of measuring representation is to be able to say, of a particular locus in a particular individual, how much to trust it, and that is a far more useful contribution than a blanket claim that graphs are better.</w:t>
      </w:r>
    </w:p>
    <w:p>
      <w:pPr>
        <w:pBdr>
          <w:bottom w:val="single" w:color="BBBBBB" w:sz="6" w:space="1"/>
        </w:pBdr>
        <w:spacing w:after="160" w:before="120"/>
      </w:pPr>
    </w:p>
    <w:p>
      <w:pPr>
        <w:pStyle w:val="Heading1"/>
        <w:spacing w:after="140" w:before="280"/>
      </w:pPr>
      <w:r>
        <w:t xml:space="preserve">8. Functional genomics on the graph, and the unfinished shift</w:t>
      </w:r>
    </w:p>
    <w:p>
      <w:pPr>
        <w:spacing w:after="160" w:line="276"/>
        <w:jc w:val="left"/>
      </w:pPr>
      <w:r>
        <w:t xml:space="preserve">The richest use of a pangenome is to carry functional measurement into sequence that a reference cannot represent, and this is where the two purposes finally fuse, because the structure that records evolutionary history is the same structure that lets us measure function where it actually occurs. It is also where the field's central unfinished problem is most visible.</w:t>
      </w:r>
    </w:p>
    <w:p>
      <w:pPr>
        <w:spacing w:after="160" w:line="276"/>
        <w:jc w:val="left"/>
      </w:pPr>
      <w:r>
        <w:t xml:space="preserve">The motivation is concrete. A reference backbone is blind to sequence it does not contain. Inserted sequences, and transposable elements in particular, carry their own functional machinery, promoters, CpG islands, regulatory elements, and if measurement is confined to the reference, none of what happens within them can be observed. The inability to measure function across non-reference sequence is, I would argue, among the most consequential limitations of reference-based genomics, and recovering that function is precisely what a pangenome makes possible. Our methylation work makes this tangible: aligning whole-genome bisulfite data to a graph with methylGrapher recovers CpG methylation in sequence that linear references omit, including within strain- or individual-specific structural insertions, and recovers it at higher coverage and lower reference bias than linear mapping (Zhang, Macias-Velasco et al., 2025). In the human case the same approach exposes methylation within non-reference transposable-element insertions, for instance a non-reference Alu within an intronic enhancer that is invisible to the linear reference and revealed, densely covered and hypermethylated, only in graph space. In the mouse case it captures methylation directly within a strain-specific endogenous retroviral insertion. These are features that do not exist as far as a linear analysis is concerned; the graph is the only way to see them. The same logic carries to allele-resolved analysis: because a personalized graph encodes both of an individual's haplotypes, reads from an expression or accessibility assay can be assigned allele-by-allele within a single individual, enabling allele-specific expression and allele-specific accessibility to be measured against the graph and corroborated, as we have done, against independent population mapping.</w:t>
      </w:r>
    </w:p>
    <w:p>
      <w:pPr>
        <w:spacing w:after="160" w:line="276"/>
        <w:jc w:val="left"/>
      </w:pPr>
      <w:r>
        <w:t xml:space="preserve">And yet, here is the unfinished shift, almost all of this still ends by projecting back to a linear coordinate system. Peak calling, differential-methylation testing, most annotation workflows: each currently requires the graph alignment to be </w:t>
      </w:r>
      <w:r>
        <w:rPr>
          <w:i/>
          <w:iCs/>
        </w:rPr>
        <w:t xml:space="preserve">surjected</w:t>
      </w:r>
      <w:r>
        <w:t xml:space="preserve"> onto a linear reference (or onto the individual's selected haplotype paths) before existing tools can be applied. The field has graph-native data structures well ahead of graph-native analyses. Surjection is a real and useful bridge (haplotype-specific surjection, in particular, can linearize signal onto the specific pair of haplotypes chosen for an individual with little loss), but it is a bridge in the wrong direction, and the asymmetry matters. Information moves losslessly from linear space into a graph: a linear reference is just one path through the graph, and everything it encodes is preserved. Information is lost moving the other way, because the graph contains paths and relationships the single linear coordinate cannot express. A workflow that does its real analysis in linear space is therefore operating, by construction, on a lossy projection of the resource it draws on, building the more complete object and then, in practice, analyzing a flattened version of it.</w:t>
      </w:r>
    </w:p>
    <w:p>
      <w:pPr>
        <w:spacing w:after="160" w:line="276"/>
        <w:jc w:val="left"/>
      </w:pPr>
      <w:r>
        <w:t xml:space="preserve">This strikes me as one of the central technical problems of the next phase of the field, and it follows directly from taking the operational view seriously. If the pangenome is a substrate to be computed on, then the work is to bring the analyses </w:t>
      </w:r>
      <w:r>
        <w:rPr>
          <w:i/>
          <w:iCs/>
        </w:rPr>
        <w:t xml:space="preserve">onto</w:t>
      </w:r>
      <w:r>
        <w:t xml:space="preserve"> the substrate, graph-native peak calling, graph-native differential testing, graph-native variant calling that genotypes within the graph rather than after surjection, and to bring the vast existing corpus of functional annotation and catalog information </w:t>
      </w:r>
      <w:r>
        <w:rPr>
          <w:i/>
          <w:iCs/>
        </w:rPr>
        <w:t xml:space="preserve">into</w:t>
      </w:r>
      <w:r>
        <w:t xml:space="preserve"> graph space, rather than continuing to drag graph data out into the linear world to meet the tools where they happen to live. methylGrapher shows that a genuinely on-graph functional analysis is possible; it is, at present, more the exception than the rule. The reason to prioritize this is not elegance. It is that the lossy projection discards exactly the signal, in non-reference, structurally variable, ancestry-divergent sequence, that motivated building the pangenome in the first place.</w:t>
      </w:r>
    </w:p>
    <w:p>
      <w:pPr>
        <w:pBdr>
          <w:bottom w:val="single" w:color="BBBBBB" w:sz="6" w:space="1"/>
        </w:pBdr>
        <w:spacing w:after="160" w:before="120"/>
      </w:pPr>
    </w:p>
    <w:p>
      <w:pPr>
        <w:pStyle w:val="Heading1"/>
        <w:spacing w:after="140" w:before="280"/>
      </w:pPr>
      <w:r>
        <w:t xml:space="preserve">9. The clinical frontier</w:t>
      </w:r>
    </w:p>
    <w:p>
      <w:pPr>
        <w:spacing w:after="160" w:line="276"/>
        <w:jc w:val="left"/>
      </w:pPr>
      <w:r>
        <w:t xml:space="preserve">The clinical case for pangenomes is sharpest at a specific, almost canonical set of loci: the HLA and MHC region, the KIR cluster, the immunoglobulin loci, large segmental duplications, and repeat-expansion disease genes. These share two properties: they matter for human health, and they are exactly the regions where a linear reference performs worst, which makes them the clearest demonstrations of where a pangenome is most valuable. The recent generation of graph-based, targeted genotypers reaches haplotype-resolved calls at these genes from short-read data where conventional pipelines resolve only a small fraction of them (Vasilinetc et al., 2025). For these loci, the pangenome is not a marginal improvement; it is the difference between an answer and no answer.</w:t>
      </w:r>
    </w:p>
    <w:p>
      <w:pPr>
        <w:spacing w:after="160" w:line="276"/>
        <w:jc w:val="left"/>
      </w:pPr>
      <w:r>
        <w:t xml:space="preserve">The substrate framing reframes the clinical promise in a useful way. The clinical value is not that the pangenome holds a longer list of pathogenic variants. It is operational at every step: personalization gives a clinical sample an individualized reference; graph-aware genotyping resolves the medically hardest loci; germline filtering at the alignment step sharpens somatic detection in cancer without a matched normal; and a population-scale distortion map tells a clinician, for a given locus in a given patient, whether a short-read call there is trustworthy or sits in a region the reference systematically distorts. That last capability (locus-level, individualized reliability scoring) is the kind of contribution that follows naturally from treating the graph as a substrate and barely makes sense under the deliverable framing. The clinic does not need a better catalog. It needs to know whether the measurement in front of it can be believed, and where it cannot.</w:t>
      </w:r>
    </w:p>
    <w:p>
      <w:pPr>
        <w:spacing w:after="160" w:line="276"/>
        <w:jc w:val="left"/>
      </w:pPr>
      <w:r>
        <w:t xml:space="preserve">I will note, because it bears on responsible deployment, that the clinical sensitivity of reference choice is itself ancestry-patterned: the loci where representation matters most overlap the loci where divergence from a one-ancestry reference is greatest. This is a scientific observation with clinical and equity consequences at once, and it should be quantified rather than assumed, but its direction is not in serious doubt, and it sets up the final substantive point.</w:t>
      </w:r>
    </w:p>
    <w:p>
      <w:pPr>
        <w:pBdr>
          <w:bottom w:val="single" w:color="BBBBBB" w:sz="6" w:space="1"/>
        </w:pBdr>
        <w:spacing w:after="160" w:before="120"/>
      </w:pPr>
    </w:p>
    <w:p>
      <w:pPr>
        <w:pStyle w:val="Heading1"/>
        <w:spacing w:after="140" w:before="280"/>
      </w:pPr>
      <w:r>
        <w:t xml:space="preserve">10. Ethics, consent, and the limits of representation</w:t>
      </w:r>
    </w:p>
    <w:p>
      <w:pPr>
        <w:spacing w:after="160" w:line="276"/>
        <w:jc w:val="left"/>
      </w:pPr>
      <w:r>
        <w:t xml:space="preserve">A pangenome is a claim about whose genomes constitute a species' reference picture, which makes it an ethical object as much as a technical one. The history of human genomics is also a history of whose diversity was represented and whose was not, of consent given and consent absent, and of the sovereignty communities hold over their own genomic data. The current expansion of the human pangenome (the second HPRC release extends the resource to phased genomes from more than two hundred individuals, nearly a fivefold increase over the draft, and for the first time incorporates samples sequenced and assembled by international partners) is encouraging precisely because representativeness is being treated as a goal rather than a byproduct (Human Pangenome Reference Consortium, 2025; Liao et al., 2023).</w:t>
      </w:r>
    </w:p>
    <w:p>
      <w:pPr>
        <w:spacing w:after="160" w:line="276"/>
        <w:jc w:val="left"/>
      </w:pPr>
      <w:r>
        <w:t xml:space="preserve">There is a point here that is scientific and not only ethical, and the two reinforce each other so exactly that I think they should be stated together. A pangenome represents only the haplotypes chosen to build it. Its usefulness for any given individual or population is therefore bounded by the composition of the panel. Reference bias does not vanish with the move to a graph; it is </w:t>
      </w:r>
      <w:r>
        <w:rPr>
          <w:i/>
          <w:iCs/>
        </w:rPr>
        <w:t xml:space="preserve">transformed</w:t>
      </w:r>
      <w:r>
        <w:t xml:space="preserve"> into panel-composition bias. A pangenome built from narrow diversity reproduces, in a new structure, the same privileging the single reference imposed; it simply privileges a set rather than a sequence. This is why the distortion-and-ancestry findings discussed above are not a separate equity topic bolted onto the technical work: they are a measurement of panel-composition bias, and they say that the remedy for the technical problem and the remedy for the ethical problem are identical. Build pangenomes from broad, equitably sourced, consented diversity, and you simultaneously reduce the distortion that limits the resource's accuracy and address the justice question of whose genomes count. Representation is at once a question of fairness and a question of fidelity, and the substrate only works as well as the diversity it is built from.</w:t>
      </w:r>
    </w:p>
    <w:p>
      <w:pPr>
        <w:pBdr>
          <w:bottom w:val="single" w:color="BBBBBB" w:sz="6" w:space="1"/>
        </w:pBdr>
        <w:spacing w:after="160" w:before="120"/>
      </w:pPr>
    </w:p>
    <w:p>
      <w:pPr>
        <w:pStyle w:val="Heading1"/>
        <w:spacing w:after="140" w:before="280"/>
      </w:pPr>
      <w:r>
        <w:t xml:space="preserve">11. Outlook: what the next decade is for</w:t>
      </w:r>
    </w:p>
    <w:p>
      <w:pPr>
        <w:spacing w:after="160" w:line="276"/>
        <w:jc w:val="left"/>
      </w:pPr>
      <w:r>
        <w:t xml:space="preserve">The arc of this field runs from one genome to many, and from a reference to a resource. The single reference was the starting point the field required; the pangenome is what genomics becomes once that starting point is no longer mistaken for the whole. If I am right that the graph's value is operational, that it is a substrate, not a deliverable, then the agenda for the next decade follows directly from the limitations named along the way, and I would prioritize three problems.</w:t>
      </w:r>
    </w:p>
    <w:p>
      <w:pPr>
        <w:spacing w:after="160" w:line="276"/>
        <w:jc w:val="left"/>
      </w:pPr>
      <w:r>
        <w:t xml:space="preserve">The first is </w:t>
      </w:r>
      <w:r>
        <w:rPr>
          <w:b/>
          <w:bCs/>
        </w:rPr>
        <w:t xml:space="preserve">graph-native analysis</w:t>
      </w:r>
      <w:r>
        <w:t xml:space="preserve">, to end the reliance on surjection. As long as the real analytical work happens in linear space, the pangenome is used as a lossy intermediate and the signal it uniquely contains is discarded at the last step. The work is to move analyses onto the graph (calling, peak-finding, differential testing, quantification) and to bring annotation and catalog information into graph space rather than projecting graph data out of it. This follows directly from treating the graph as a substrate, and I think it is among the most important technical directions for the field.</w:t>
      </w:r>
    </w:p>
    <w:p>
      <w:pPr>
        <w:spacing w:after="160" w:line="276"/>
        <w:jc w:val="left"/>
      </w:pPr>
      <w:r>
        <w:t xml:space="preserve">The second is </w:t>
      </w:r>
      <w:r>
        <w:rPr>
          <w:b/>
          <w:bCs/>
        </w:rPr>
        <w:t xml:space="preserve">scaling the faithful representation</w:t>
      </w:r>
      <w:r>
        <w:t xml:space="preserve">. The most faithful graphs, those that model self-similarity and represent sequence structure honestly, do not scale genome-wide. The implicit-graph strategy, in which the pangenome is held as a queryable alignment and graphs are resolved locally on demand, is the most promising route to having both fidelity and tractability, and maturing it would let the representational and operational purposes draw on the same underlying object rather than forcing a choice of construction philosophy up front.</w:t>
      </w:r>
    </w:p>
    <w:p>
      <w:pPr>
        <w:spacing w:after="160" w:line="276"/>
        <w:jc w:val="left"/>
      </w:pPr>
      <w:r>
        <w:t xml:space="preserve">The third is </w:t>
      </w:r>
      <w:r>
        <w:rPr>
          <w:b/>
          <w:bCs/>
        </w:rPr>
        <w:t xml:space="preserve">representative, consented diversity at scale</w:t>
      </w:r>
      <w:r>
        <w:t xml:space="preserve">, because the substrate is bounded by the panel and panel-composition bias is measurable, ancestry-patterned, and consequential. This is where the technical and ethical agendas are the same agenda.</w:t>
      </w:r>
    </w:p>
    <w:p>
      <w:pPr>
        <w:spacing w:after="160" w:line="276"/>
        <w:jc w:val="left"/>
      </w:pPr>
      <w:r>
        <w:t xml:space="preserve">I will close by being explicit about the boundaries of this account, both because honesty about scope is part of the argument and because a Perspective should mark where reasonable emphasis could differ from mine. I have written from the standpoint of functional and clinical genomics, where the operational purpose is paramount; a population-genetics-first or evolutionary-genomics-first account would weight the representational purpose more heavily and might reasonably treat the catalog as more central than I have allowed. I have said comparatively little about long reads, which change the calculus of both assembly and alignment and may erode some of the short-read distortion this piece dwells on, though, I would argue, not the underlying asymmetry between linear and graph space. I have not engaged deeply with pangenome data structures and indexing as research problems in their own right, nor with the file-format and interoperability questions that determine, in practice, whether the substrate is usable by anyone other than its builders. And I have treated the implicit graph as a promising direction rather than a solved one, which it is not.</w:t>
      </w:r>
    </w:p>
    <w:p>
      <w:pPr>
        <w:spacing w:after="160" w:line="276"/>
        <w:jc w:val="left"/>
      </w:pPr>
      <w:r>
        <w:t xml:space="preserve">These are places where the field's emphasis is still being set, and where reasonable people will weight things differently. But the central emphasis, I think, holds across them: much of the pangenome's contribution to biology will come less from the completeness of the variation it records than from what becomes possible when the graph is used as a working substrate for analysis, and not only as a reference to consult.</w:t>
      </w:r>
    </w:p>
    <w:p>
      <w:pPr>
        <w:pBdr>
          <w:bottom w:val="single" w:color="BBBBBB" w:sz="6" w:space="1"/>
        </w:pBdr>
        <w:spacing w:after="160" w:before="120"/>
      </w:pPr>
    </w:p>
    <w:p>
      <w:pPr>
        <w:pStyle w:val="Heading1"/>
        <w:spacing w:after="140" w:before="280"/>
      </w:pPr>
      <w:r>
        <w:t xml:space="preserve">References</w:t>
      </w:r>
    </w:p>
    <w:p>
      <w:pPr>
        <w:spacing w:after="160" w:line="276"/>
        <w:ind w:left="360" w:hanging="360"/>
        <w:jc w:val="left"/>
      </w:pPr>
      <w:r>
        <w:t xml:space="preserve">1000 Genomes Project Consortium. A global reference for human genetic variation. </w:t>
      </w:r>
      <w:r>
        <w:rPr>
          <w:i/>
          <w:iCs/>
        </w:rPr>
        <w:t xml:space="preserve">Nature</w:t>
      </w:r>
      <w:r>
        <w:t xml:space="preserve"> </w:t>
      </w:r>
      <w:r>
        <w:rPr>
          <w:b/>
          <w:bCs/>
        </w:rPr>
        <w:t xml:space="preserve">526</w:t>
      </w:r>
      <w:r>
        <w:t xml:space="preserve">, 68–74 (2015).</w:t>
      </w:r>
    </w:p>
    <w:p>
      <w:pPr>
        <w:spacing w:after="160" w:line="276"/>
        <w:ind w:left="360" w:hanging="360"/>
        <w:jc w:val="left"/>
      </w:pPr>
      <w:r>
        <w:t xml:space="preserve">Ebler, J., et al. Pangenome-based genome inference allows efficient and accurate genotyping across a wide spectrum of variant classes. </w:t>
      </w:r>
      <w:r>
        <w:rPr>
          <w:i/>
          <w:iCs/>
        </w:rPr>
        <w:t xml:space="preserve">Nature Genetics</w:t>
      </w:r>
      <w:r>
        <w:t xml:space="preserve"> </w:t>
      </w:r>
      <w:r>
        <w:rPr>
          <w:b/>
          <w:bCs/>
        </w:rPr>
        <w:t xml:space="preserve">54</w:t>
      </w:r>
      <w:r>
        <w:t xml:space="preserve">, 518–525 (2022).</w:t>
      </w:r>
    </w:p>
    <w:p>
      <w:pPr>
        <w:spacing w:after="160" w:line="276"/>
        <w:ind w:left="360" w:hanging="360"/>
        <w:jc w:val="left"/>
      </w:pPr>
      <w:r>
        <w:t xml:space="preserve">Eizenga, J. M., et al. Pangenome graphs. </w:t>
      </w:r>
      <w:r>
        <w:rPr>
          <w:i/>
          <w:iCs/>
        </w:rPr>
        <w:t xml:space="preserve">Annual Review of Genomics and Human Genetics</w:t>
      </w:r>
      <w:r>
        <w:t xml:space="preserve"> </w:t>
      </w:r>
      <w:r>
        <w:rPr>
          <w:b/>
          <w:bCs/>
        </w:rPr>
        <w:t xml:space="preserve">21</w:t>
      </w:r>
      <w:r>
        <w:t xml:space="preserve">, 139–162 (2020).</w:t>
      </w:r>
    </w:p>
    <w:p>
      <w:pPr>
        <w:spacing w:after="160" w:line="276"/>
        <w:ind w:left="360" w:hanging="360"/>
        <w:jc w:val="left"/>
      </w:pPr>
      <w:r>
        <w:t xml:space="preserve">Garrison, E., et al. Variation graph toolkit improves read mapping by representing genetic variation in the reference. </w:t>
      </w:r>
      <w:r>
        <w:rPr>
          <w:i/>
          <w:iCs/>
        </w:rPr>
        <w:t xml:space="preserve">Nature Biotechnology</w:t>
      </w:r>
      <w:r>
        <w:t xml:space="preserve"> </w:t>
      </w:r>
      <w:r>
        <w:rPr>
          <w:b/>
          <w:bCs/>
        </w:rPr>
        <w:t xml:space="preserve">36</w:t>
      </w:r>
      <w:r>
        <w:t xml:space="preserve">, 875–879 (2018).</w:t>
      </w:r>
    </w:p>
    <w:p>
      <w:pPr>
        <w:spacing w:after="160" w:line="276"/>
        <w:ind w:left="360" w:hanging="360"/>
        <w:jc w:val="left"/>
      </w:pPr>
      <w:r>
        <w:t xml:space="preserve">Garrison, E., Guarracino, A., Heumos, S., et al. Building pangenome graphs. </w:t>
      </w:r>
      <w:r>
        <w:rPr>
          <w:i/>
          <w:iCs/>
        </w:rPr>
        <w:t xml:space="preserve">Nature Methods</w:t>
      </w:r>
      <w:r>
        <w:t xml:space="preserve"> </w:t>
      </w:r>
      <w:r>
        <w:rPr>
          <w:b/>
          <w:bCs/>
        </w:rPr>
        <w:t xml:space="preserve">21</w:t>
      </w:r>
      <w:r>
        <w:t xml:space="preserve">, 2008–2012 (2024).</w:t>
      </w:r>
    </w:p>
    <w:p>
      <w:pPr>
        <w:spacing w:after="160" w:line="276"/>
        <w:ind w:left="360" w:hanging="360"/>
        <w:jc w:val="left"/>
      </w:pPr>
      <w:r>
        <w:t xml:space="preserve">Hickey, G., Monlong, J., Ebler, J., et al. Pangenome graph construction from genome alignments with Minigraph-Cactus. </w:t>
      </w:r>
      <w:r>
        <w:rPr>
          <w:i/>
          <w:iCs/>
        </w:rPr>
        <w:t xml:space="preserve">Nature Biotechnology</w:t>
      </w:r>
      <w:r>
        <w:t xml:space="preserve"> </w:t>
      </w:r>
      <w:r>
        <w:rPr>
          <w:b/>
          <w:bCs/>
        </w:rPr>
        <w:t xml:space="preserve">42</w:t>
      </w:r>
      <w:r>
        <w:t xml:space="preserve">, 663–673 (2024).</w:t>
      </w:r>
    </w:p>
    <w:p>
      <w:pPr>
        <w:spacing w:after="160" w:line="276"/>
        <w:ind w:left="360" w:hanging="360"/>
        <w:jc w:val="left"/>
      </w:pPr>
      <w:r>
        <w:t xml:space="preserve">Human Pangenome Reference Consortium. HPRC Data Release 2 (2025). https://humanpangenome.org/hprc-data-release-2/</w:t>
      </w:r>
    </w:p>
    <w:p>
      <w:pPr>
        <w:spacing w:after="160" w:line="276"/>
        <w:ind w:left="360" w:hanging="360"/>
        <w:jc w:val="left"/>
      </w:pPr>
      <w:r>
        <w:t xml:space="preserve">Kong, N., Tang, Z., Ruttenberg, A., Macias-Velasco, J. F., et al. A pangenomic method for establishing a somatic variant detection resource in HapMap mixtures. </w:t>
      </w:r>
      <w:r>
        <w:rPr>
          <w:i/>
          <w:iCs/>
        </w:rPr>
        <w:t xml:space="preserve">bioRxiv</w:t>
      </w:r>
      <w:r>
        <w:t xml:space="preserve"> 2025.09.29.679336 (2025).</w:t>
      </w:r>
    </w:p>
    <w:p>
      <w:pPr>
        <w:spacing w:after="160" w:line="276"/>
        <w:ind w:left="360" w:hanging="360"/>
        <w:jc w:val="left"/>
      </w:pPr>
      <w:r>
        <w:t xml:space="preserve">Li, H., Feng, X. &amp; Chu, C. The design and construction of reference pangenome graphs with minigraph. </w:t>
      </w:r>
      <w:r>
        <w:rPr>
          <w:i/>
          <w:iCs/>
        </w:rPr>
        <w:t xml:space="preserve">Genome Biology</w:t>
      </w:r>
      <w:r>
        <w:t xml:space="preserve"> </w:t>
      </w:r>
      <w:r>
        <w:rPr>
          <w:b/>
          <w:bCs/>
        </w:rPr>
        <w:t xml:space="preserve">21</w:t>
      </w:r>
      <w:r>
        <w:t xml:space="preserve">, 265 (2020).</w:t>
      </w:r>
    </w:p>
    <w:p>
      <w:pPr>
        <w:spacing w:after="160" w:line="276"/>
        <w:ind w:left="360" w:hanging="360"/>
        <w:jc w:val="left"/>
      </w:pPr>
      <w:r>
        <w:t xml:space="preserve">Liao, W.-W., et al. A draft human pangenome reference. </w:t>
      </w:r>
      <w:r>
        <w:rPr>
          <w:i/>
          <w:iCs/>
        </w:rPr>
        <w:t xml:space="preserve">Nature</w:t>
      </w:r>
      <w:r>
        <w:t xml:space="preserve"> </w:t>
      </w:r>
      <w:r>
        <w:rPr>
          <w:b/>
          <w:bCs/>
        </w:rPr>
        <w:t xml:space="preserve">617</w:t>
      </w:r>
      <w:r>
        <w:t xml:space="preserve">, 312–324 (2023).</w:t>
      </w:r>
    </w:p>
    <w:p>
      <w:pPr>
        <w:spacing w:after="160" w:line="276"/>
        <w:ind w:left="360" w:hanging="360"/>
        <w:jc w:val="left"/>
      </w:pPr>
      <w:r>
        <w:t xml:space="preserve">Nurk, S., et al. The complete sequence of a human genome. </w:t>
      </w:r>
      <w:r>
        <w:rPr>
          <w:i/>
          <w:iCs/>
        </w:rPr>
        <w:t xml:space="preserve">Science</w:t>
      </w:r>
      <w:r>
        <w:t xml:space="preserve"> </w:t>
      </w:r>
      <w:r>
        <w:rPr>
          <w:b/>
          <w:bCs/>
        </w:rPr>
        <w:t xml:space="preserve">376</w:t>
      </w:r>
      <w:r>
        <w:t xml:space="preserve">, 44–53 (2022).</w:t>
      </w:r>
    </w:p>
    <w:p>
      <w:pPr>
        <w:spacing w:after="160" w:line="276"/>
        <w:ind w:left="360" w:hanging="360"/>
        <w:jc w:val="left"/>
      </w:pPr>
      <w:r>
        <w:t xml:space="preserve">Schreiber, M., Jayakodi, M., Stein, N., et al. Plant pangenomes for crop improvement, biodiversity and evolution. </w:t>
      </w:r>
      <w:r>
        <w:rPr>
          <w:i/>
          <w:iCs/>
        </w:rPr>
        <w:t xml:space="preserve">Nature Reviews Genetics</w:t>
      </w:r>
      <w:r>
        <w:t xml:space="preserve"> </w:t>
      </w:r>
      <w:r>
        <w:rPr>
          <w:b/>
          <w:bCs/>
        </w:rPr>
        <w:t xml:space="preserve">25</w:t>
      </w:r>
      <w:r>
        <w:t xml:space="preserve"> (2024).</w:t>
      </w:r>
    </w:p>
    <w:p>
      <w:pPr>
        <w:spacing w:after="160" w:line="276"/>
        <w:ind w:left="360" w:hanging="360"/>
        <w:jc w:val="left"/>
      </w:pPr>
      <w:r>
        <w:t xml:space="preserve">Sirén, J., et al. Pangenomics enables genotyping of known structural variants in 5202 diverse genomes (vg Giraffe). </w:t>
      </w:r>
      <w:r>
        <w:rPr>
          <w:i/>
          <w:iCs/>
        </w:rPr>
        <w:t xml:space="preserve">Science</w:t>
      </w:r>
      <w:r>
        <w:t xml:space="preserve"> </w:t>
      </w:r>
      <w:r>
        <w:rPr>
          <w:b/>
          <w:bCs/>
        </w:rPr>
        <w:t xml:space="preserve">374</w:t>
      </w:r>
      <w:r>
        <w:t xml:space="preserve">, abg8871 (2021).</w:t>
      </w:r>
    </w:p>
    <w:p>
      <w:pPr>
        <w:spacing w:after="160" w:line="276"/>
        <w:ind w:left="360" w:hanging="360"/>
        <w:jc w:val="left"/>
      </w:pPr>
      <w:r>
        <w:t xml:space="preserve">Sirén, J., et al. Personalized pangenome references. </w:t>
      </w:r>
      <w:r>
        <w:rPr>
          <w:i/>
          <w:iCs/>
        </w:rPr>
        <w:t xml:space="preserve">Nature Methods</w:t>
      </w:r>
      <w:r>
        <w:t xml:space="preserve"> </w:t>
      </w:r>
      <w:r>
        <w:rPr>
          <w:b/>
          <w:bCs/>
        </w:rPr>
        <w:t xml:space="preserve">21</w:t>
      </w:r>
      <w:r>
        <w:t xml:space="preserve">, 2017–2023 (2024).</w:t>
      </w:r>
    </w:p>
    <w:p>
      <w:pPr>
        <w:spacing w:after="160" w:line="276"/>
        <w:ind w:left="360" w:hanging="360"/>
        <w:jc w:val="left"/>
      </w:pPr>
      <w:r>
        <w:t xml:space="preserve">Smith, T. P. L., et al. The Bovine Pangenome Consortium: democratizing production and accessibility of genome assemblies for global cattle breeds and other bovine species. </w:t>
      </w:r>
      <w:r>
        <w:rPr>
          <w:i/>
          <w:iCs/>
        </w:rPr>
        <w:t xml:space="preserve">Genome Biology</w:t>
      </w:r>
      <w:r>
        <w:t xml:space="preserve"> </w:t>
      </w:r>
      <w:r>
        <w:rPr>
          <w:b/>
          <w:bCs/>
        </w:rPr>
        <w:t xml:space="preserve">24</w:t>
      </w:r>
      <w:r>
        <w:t xml:space="preserve">, 139 (2023).</w:t>
      </w:r>
    </w:p>
    <w:p>
      <w:pPr>
        <w:spacing w:after="160" w:line="276"/>
        <w:ind w:left="360" w:hanging="360"/>
        <w:jc w:val="left"/>
      </w:pPr>
      <w:r>
        <w:t xml:space="preserve">Tettelin, H., et al. Genome analysis of multiple pathogenic isolates of </w:t>
      </w:r>
      <w:r>
        <w:rPr>
          <w:i/>
          <w:iCs/>
        </w:rPr>
        <w:t xml:space="preserve">Streptococcus agalactiae</w:t>
      </w:r>
      <w:r>
        <w:t xml:space="preserve">: implications for the microbial "pan-genome." </w:t>
      </w:r>
      <w:r>
        <w:rPr>
          <w:i/>
          <w:iCs/>
        </w:rPr>
        <w:t xml:space="preserve">Proceedings of the National Academy of Sciences USA</w:t>
      </w:r>
      <w:r>
        <w:t xml:space="preserve"> </w:t>
      </w:r>
      <w:r>
        <w:rPr>
          <w:b/>
          <w:bCs/>
        </w:rPr>
        <w:t xml:space="preserve">102</w:t>
      </w:r>
      <w:r>
        <w:t xml:space="preserve">, 13950–13955 (2005).</w:t>
      </w:r>
    </w:p>
    <w:p>
      <w:pPr>
        <w:spacing w:after="160" w:line="276"/>
        <w:ind w:left="360" w:hanging="360"/>
        <w:jc w:val="left"/>
      </w:pPr>
      <w:r>
        <w:t xml:space="preserve">Vasilinetc, T., et al. Locityper enables targeted genotyping of complex polymorphic genes. </w:t>
      </w:r>
      <w:r>
        <w:rPr>
          <w:i/>
          <w:iCs/>
        </w:rPr>
        <w:t xml:space="preserve">Nature Genetics</w:t>
      </w:r>
      <w:r>
        <w:t xml:space="preserve"> (2025).</w:t>
      </w:r>
    </w:p>
    <w:p>
      <w:pPr>
        <w:spacing w:after="160" w:line="276"/>
        <w:ind w:left="360" w:hanging="360"/>
        <w:jc w:val="left"/>
      </w:pPr>
      <w:r>
        <w:t xml:space="preserve">Zhang, W., Macias-Velasco, J. F., et al. methylGrapher: genome-graph-based processing of DNA methylation data from whole genome bisulfite sequencing. </w:t>
      </w:r>
      <w:r>
        <w:rPr>
          <w:i/>
          <w:iCs/>
        </w:rPr>
        <w:t xml:space="preserve">Nucleic Acids Research</w:t>
      </w:r>
      <w:r>
        <w:t xml:space="preserve"> </w:t>
      </w:r>
      <w:r>
        <w:rPr>
          <w:b/>
          <w:bCs/>
        </w:rPr>
        <w:t xml:space="preserve">53</w:t>
      </w:r>
      <w:r>
        <w:t xml:space="preserve">, gkaf028 (2025).</w:t>
      </w:r>
    </w:p>
    <w:p>
      <w:pPr>
        <w:spacing w:after="160" w:line="276"/>
        <w:ind w:left="360" w:hanging="360"/>
        <w:jc w:val="left"/>
      </w:pPr>
      <w:r>
        <w:rPr>
          <w:i/>
          <w:iCs/>
        </w:rPr>
        <w:t xml:space="preserve">Author's own works referenced above in narrative form (full citations to be completed at submission): the draft mouse graph pangenome and Collaborative Cross personalization study; the benchmarking of genome choice in functional genomics; the reference-alignment-bias quantification study; the MoRGANA population-scale distortion-mapping framework; and the SMaHT pangenome-based somatic variant detection study.</w:t>
      </w:r>
    </w:p>
    <w:p>
      <w:pPr>
        <w:pBdr>
          <w:bottom w:val="single" w:color="BBBBBB" w:sz="6" w:space="1"/>
        </w:pBdr>
        <w:spacing w:after="160" w:before="120"/>
      </w:pPr>
    </w:p>
    <w:p>
      <w:pPr>
        <w:pStyle w:val="Heading1"/>
        <w:spacing w:after="140" w:before="280"/>
      </w:pPr>
      <w:r>
        <w:t xml:space="preserve">Appendix: Gaps and places for your input</w:t>
      </w:r>
    </w:p>
    <w:p>
      <w:pPr>
        <w:spacing w:after="160" w:line="276"/>
        <w:jc w:val="left"/>
      </w:pPr>
      <w:r>
        <w:rPr>
          <w:i/>
          <w:iCs/>
        </w:rPr>
        <w:t xml:space="preserve">These are the spots where I deliberately left room for you to add emphasis, sharpen a claim, or insert material only you can supply. Numbered for easy reference.</w:t>
      </w:r>
    </w:p>
    <w:p>
      <w:pPr>
        <w:pStyle w:val="ListParagraph"/>
        <w:numPr>
          <w:ilvl w:val="0"/>
          <w:numId w:val="2"/>
        </w:numPr>
        <w:spacing w:after="100" w:line="276"/>
      </w:pPr>
      <w:r>
        <w:rPr>
          <w:b/>
          <w:bCs/>
        </w:rPr>
        <w:t xml:space="preserve">A separate "summary" / framing document.</w:t>
      </w:r>
      <w:r>
        <w:t xml:space="preserve"> I built this from our conversation's synthesis plus your 14-section conceptual treatment. If you have a one-paragraph statement of your own thesis you'd prefer to open with, it should replace or anchor the standfirst.</w:t>
      </w:r>
    </w:p>
    <w:p>
      <w:pPr>
        <w:pStyle w:val="ListParagraph"/>
        <w:numPr>
          <w:ilvl w:val="0"/>
          <w:numId w:val="2"/>
        </w:numPr>
        <w:spacing w:after="100" w:line="276"/>
      </w:pPr>
      <w:r>
        <w:rPr>
          <w:b/>
          <w:bCs/>
        </w:rPr>
        <w:t xml:space="preserve">Foundational alignment material (Smith-Waterman / Needleman-Wunsch).</w:t>
      </w:r>
      <w:r>
        <w:t xml:space="preserve"> Your summary teaches local vs. global alignment explicitly as the conceptual root of read mapping and assembly-to-assembly alignment. I compressed it to keep Perspective pacing. Restore a short worked example if you want the piece to do more pedagogical work.</w:t>
      </w:r>
    </w:p>
    <w:p>
      <w:pPr>
        <w:pStyle w:val="ListParagraph"/>
        <w:numPr>
          <w:ilvl w:val="0"/>
          <w:numId w:val="2"/>
        </w:numPr>
        <w:spacing w:after="100" w:line="276"/>
      </w:pPr>
      <w:r>
        <w:rPr>
          <w:b/>
          <w:bCs/>
        </w:rPr>
        <w:t xml:space="preserve">File formats (GFA / rGFA, paths vs. walks, index formats).</w:t>
      </w:r>
      <w:r>
        <w:t xml:space="preserve"> Your summary calls for these to be introduced explicitly. I treated them in one sentence. Decide whether a Perspective audience needs them or whether they belong only in the graduate-treatment version.</w:t>
      </w:r>
    </w:p>
    <w:p>
      <w:pPr>
        <w:pStyle w:val="ListParagraph"/>
        <w:numPr>
          <w:ilvl w:val="0"/>
          <w:numId w:val="2"/>
        </w:numPr>
        <w:spacing w:after="100" w:line="276"/>
      </w:pPr>
      <w:r>
        <w:rPr>
          <w:b/>
          <w:bCs/>
        </w:rPr>
        <w:t xml:space="preserve">Visualization tooling (vg, ODGI, Bandage, vg chunk, minimap2, SVbyEye, HAL→MAF, WashU browser) and the non-uniqueness of graph alignments.</w:t>
      </w:r>
      <w:r>
        <w:t xml:space="preserve"> Cut for length. The "alignments are not unique / path-dependent" point is conceptually strong and could be reinstated as a short methodological caution if you want it.</w:t>
      </w:r>
    </w:p>
    <w:p>
      <w:pPr>
        <w:pStyle w:val="ListParagraph"/>
        <w:numPr>
          <w:ilvl w:val="0"/>
          <w:numId w:val="2"/>
        </w:numPr>
        <w:spacing w:after="100" w:line="276"/>
      </w:pPr>
      <w:r>
        <w:rPr>
          <w:b/>
          <w:bCs/>
        </w:rPr>
        <w:t xml:space="preserve">Quantitative results from your own papers.</w:t>
      </w:r>
      <w:r>
        <w:t xml:space="preserve"> I kept your numbers deliberately light and qualitative (e.g., "&gt;99% mouse concordance," "two percent of accessible chromatin," "over half to three-quarters of variance") to avoid misstating unpublished figures. Replace each with the exact, citable values you want on record.</w:t>
      </w:r>
    </w:p>
    <w:p>
      <w:pPr>
        <w:pStyle w:val="ListParagraph"/>
        <w:numPr>
          <w:ilvl w:val="0"/>
          <w:numId w:val="2"/>
        </w:numPr>
        <w:spacing w:after="100" w:line="276"/>
      </w:pPr>
      <w:r>
        <w:rPr>
          <w:b/>
          <w:bCs/>
        </w:rPr>
        <w:t xml:space="preserve">Author-work citations.</w:t>
      </w:r>
      <w:r>
        <w:t xml:space="preserve"> Your five primary works are cited in narrative form pending publication details (journal, year, co-authors, DOIs). These need to be filled in, and you may want to decide which are "in press," "in revision," "in preparation," or preprinted.</w:t>
      </w:r>
    </w:p>
    <w:p>
      <w:pPr>
        <w:pStyle w:val="ListParagraph"/>
        <w:numPr>
          <w:ilvl w:val="0"/>
          <w:numId w:val="2"/>
        </w:numPr>
        <w:spacing w:after="100" w:line="276"/>
      </w:pPr>
      <w:r>
        <w:rPr>
          <w:b/>
          <w:bCs/>
        </w:rPr>
        <w:t xml:space="preserve">Long reads.</w:t>
      </w:r>
      <w:r>
        <w:t xml:space="preserve"> I gave this one paragraph in the outlook and claimed the linear/graph asymmetry survives the move to long reads. If you have a stronger or more nuanced view (especially given the SV-detection results), this is worth expanding.</w:t>
      </w:r>
    </w:p>
    <w:p>
      <w:pPr>
        <w:pStyle w:val="ListParagraph"/>
        <w:numPr>
          <w:ilvl w:val="0"/>
          <w:numId w:val="2"/>
        </w:numPr>
        <w:spacing w:after="100" w:line="276"/>
      </w:pPr>
      <w:r>
        <w:rPr>
          <w:b/>
          <w:bCs/>
        </w:rPr>
        <w:t xml:space="preserve">The RAB-vs-Benchmarking distinction.</w:t>
      </w:r>
      <w:r>
        <w:t xml:space="preserve"> I treated reference-induced distortion as one coherent line of work. If you want to preserve the two studies as conceptually distinct contributions, a sentence distinguishing bin-fate RAB quantification from the variance-decomposition benchmark would do it.</w:t>
      </w:r>
    </w:p>
    <w:p>
      <w:pPr>
        <w:pStyle w:val="ListParagraph"/>
        <w:numPr>
          <w:ilvl w:val="0"/>
          <w:numId w:val="2"/>
        </w:numPr>
        <w:spacing w:after="100" w:line="276"/>
      </w:pPr>
      <w:r>
        <w:rPr>
          <w:b/>
          <w:bCs/>
        </w:rPr>
        <w:t xml:space="preserve">Target journal calibration.</w:t>
      </w:r>
      <w:r>
        <w:t xml:space="preserve"> Written at ~7,000 words for a Perspective/Opinion venue (e.g., Nature Reviews Genetics Perspective, Trends in Genetics, Genome Biology). If the target is shorter, Sections 4 and 8 compress most cleanly; if a full review, Sections 5–9 each have room to expand.</w:t>
      </w:r>
    </w:p>
    <w:p>
      <w:pPr>
        <w:pStyle w:val="ListParagraph"/>
        <w:numPr>
          <w:ilvl w:val="0"/>
          <w:numId w:val="2"/>
        </w:numPr>
        <w:spacing w:after="100" w:line="276"/>
      </w:pPr>
      <w:r>
        <w:rPr>
          <w:b/>
          <w:bCs/>
        </w:rPr>
        <w:t xml:space="preserve">Tone on the clinical-ancestry claim.</w:t>
      </w:r>
      <w:r>
        <w:t xml:space="preserve"> I stated it as a measurable dependence to be quantified rather than an established result, per your own caution in the MoRGANA plan. Confirm that framing matches how far you want to commit in print.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outlineLvl w:val="0"/>
    </w:pPr>
    <w:rPr>
      <w:rFonts w:ascii="Arial" w:cs="Arial" w:eastAsia="Arial" w:hAnsi="Arial"/>
      <w:b/>
      <w:bCs/>
      <w:color w:val="1A1A1A"/>
      <w:sz w:val="36"/>
      <w:szCs w:val="36"/>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Pangenome as Substrate</dc:title>
  <dc:creator>Juan F. Macias-Velasco</dc:creator>
  <cp:lastModifiedBy>Un-named</cp:lastModifiedBy>
  <cp:revision>1</cp:revision>
  <dcterms:created xsi:type="dcterms:W3CDTF">2026-06-11T04:45:27.351Z</dcterms:created>
  <dcterms:modified xsi:type="dcterms:W3CDTF">2026-06-11T04:45:27.351Z</dcterms:modified>
</cp:coreProperties>
</file>

<file path=docProps/custom.xml><?xml version="1.0" encoding="utf-8"?>
<Properties xmlns="http://schemas.openxmlformats.org/officeDocument/2006/custom-properties" xmlns:vt="http://schemas.openxmlformats.org/officeDocument/2006/docPropsVTypes"/>
</file>