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8E81" w14:textId="77777777" w:rsidR="00086D8F" w:rsidRPr="00871160" w:rsidRDefault="00086D8F" w:rsidP="00086D8F">
      <w:pPr>
        <w:pStyle w:val="Ttulo2"/>
        <w:numPr>
          <w:ilvl w:val="0"/>
          <w:numId w:val="3"/>
        </w:numPr>
        <w:tabs>
          <w:tab w:val="num" w:pos="360"/>
        </w:tabs>
        <w:spacing w:line="360" w:lineRule="auto"/>
        <w:ind w:left="567" w:hanging="425"/>
        <w:rPr>
          <w:rFonts w:ascii="Arial" w:hAnsi="Arial" w:cs="Arial"/>
          <w:b/>
          <w:i/>
          <w:sz w:val="22"/>
          <w:lang w:val="es-ES"/>
        </w:rPr>
      </w:pPr>
      <w:r>
        <w:rPr>
          <w:rFonts w:ascii="Arial" w:hAnsi="Arial" w:cs="Arial"/>
          <w:noProof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12B0B4" wp14:editId="5511C088">
                <wp:simplePos x="0" y="0"/>
                <wp:positionH relativeFrom="column">
                  <wp:posOffset>1270</wp:posOffset>
                </wp:positionH>
                <wp:positionV relativeFrom="paragraph">
                  <wp:posOffset>-75565</wp:posOffset>
                </wp:positionV>
                <wp:extent cx="5760085" cy="319405"/>
                <wp:effectExtent l="0" t="0" r="0" b="0"/>
                <wp:wrapNone/>
                <wp:docPr id="8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319405"/>
                        </a:xfrm>
                        <a:prstGeom prst="rect">
                          <a:avLst/>
                        </a:prstGeom>
                        <a:solidFill>
                          <a:srgbClr val="B4C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150B9" w14:textId="77777777" w:rsidR="00086D8F" w:rsidRDefault="00086D8F" w:rsidP="00086D8F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2B0B4" id="Rectangle 68" o:spid="_x0000_s1026" style="position:absolute;left:0;text-align:left;margin-left:.1pt;margin-top:-5.95pt;width:453.55pt;height:25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" fillcolor="#b4c9e2" stroked="f">
                <v:textbox>
                  <w:txbxContent>
                    <w:p w14:paraId="38C150B9" w14:textId="77777777" w:rsidR="00086D8F" w:rsidRDefault="00086D8F" w:rsidP="00086D8F">
                      <w:pPr>
                        <w:pStyle w:val="Ttulo2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Toc213666805"/>
      <w:r w:rsidRPr="00871160">
        <w:rPr>
          <w:rFonts w:ascii="Arial" w:hAnsi="Arial" w:cs="Arial"/>
          <w:i/>
          <w:sz w:val="22"/>
          <w:lang w:val="es-ES"/>
        </w:rPr>
        <w:t>Determinación de actividad beta total en aerosoles, agua potable y suelo</w:t>
      </w:r>
      <w:bookmarkEnd w:id="0"/>
    </w:p>
    <w:p w14:paraId="454AF0E9" w14:textId="77777777" w:rsidR="00086D8F" w:rsidRDefault="00086D8F" w:rsidP="00086D8F">
      <w:pPr>
        <w:autoSpaceDE w:val="0"/>
        <w:autoSpaceDN w:val="0"/>
        <w:adjustRightInd w:val="0"/>
        <w:spacing w:line="360" w:lineRule="auto"/>
        <w:ind w:firstLine="142"/>
        <w:jc w:val="both"/>
        <w:rPr>
          <w:rFonts w:ascii="Arial" w:hAnsi="Arial" w:cs="Arial"/>
          <w:sz w:val="22"/>
          <w:lang w:val="es-ES"/>
        </w:rPr>
      </w:pPr>
    </w:p>
    <w:p w14:paraId="6708F2D5" w14:textId="77777777" w:rsidR="00086D8F" w:rsidRPr="00994A8B" w:rsidRDefault="00086D8F" w:rsidP="00086D8F">
      <w:pPr>
        <w:numPr>
          <w:ilvl w:val="0"/>
          <w:numId w:val="4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  <w:lang w:val="es-ES"/>
        </w:rPr>
      </w:pPr>
      <w:bookmarkStart w:id="1" w:name="_Toc15109504"/>
      <w:bookmarkStart w:id="2" w:name="_Toc19080527"/>
      <w:bookmarkStart w:id="3" w:name="_Toc21153682"/>
      <w:bookmarkStart w:id="4" w:name="_Toc25390617"/>
      <w:bookmarkStart w:id="5" w:name="_Toc33012311"/>
      <w:bookmarkStart w:id="6" w:name="_Toc39381761"/>
      <w:bookmarkStart w:id="7" w:name="_Toc198715228"/>
      <w:bookmarkStart w:id="8" w:name="_Toc205013875"/>
      <w:r w:rsidRPr="00994A8B">
        <w:rPr>
          <w:rFonts w:ascii="Arial" w:hAnsi="Arial" w:cs="Arial"/>
          <w:b/>
          <w:sz w:val="22"/>
          <w:szCs w:val="22"/>
          <w:lang w:val="es-ES"/>
        </w:rPr>
        <w:t>Objeto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94A8B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14:paraId="5D58CD90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Establecer las normas de actuación para determinar la concentración de actividad beta total</w:t>
      </w:r>
      <w:r>
        <w:rPr>
          <w:rFonts w:ascii="Arial" w:hAnsi="Arial" w:cs="Arial"/>
          <w:sz w:val="22"/>
        </w:rPr>
        <w:t xml:space="preserve"> correspondiente a los radionúclidos adheridos a partículas de polvo del aire, al agua potable y a las muestras de suelo recogidas según los apartados 1.1, 1.3 y 1.5, respectivamente.</w:t>
      </w:r>
    </w:p>
    <w:p w14:paraId="32D2F4A4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61FFFD8F" w14:textId="77777777" w:rsidR="00086D8F" w:rsidRPr="00994A8B" w:rsidRDefault="00086D8F" w:rsidP="00086D8F">
      <w:pPr>
        <w:numPr>
          <w:ilvl w:val="0"/>
          <w:numId w:val="4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  <w:lang w:val="es-ES"/>
        </w:rPr>
      </w:pPr>
      <w:bookmarkStart w:id="9" w:name="_Toc15109505"/>
      <w:bookmarkStart w:id="10" w:name="_Toc19080528"/>
      <w:bookmarkStart w:id="11" w:name="_Toc21153683"/>
      <w:bookmarkStart w:id="12" w:name="_Toc25390618"/>
      <w:bookmarkStart w:id="13" w:name="_Toc33012312"/>
      <w:bookmarkStart w:id="14" w:name="_Toc39381762"/>
      <w:bookmarkStart w:id="15" w:name="_Toc198715229"/>
      <w:bookmarkStart w:id="16" w:name="_Toc205013876"/>
      <w:r w:rsidRPr="00994A8B">
        <w:rPr>
          <w:rFonts w:ascii="Arial" w:hAnsi="Arial" w:cs="Arial"/>
          <w:b/>
          <w:sz w:val="22"/>
          <w:szCs w:val="22"/>
          <w:lang w:val="es-ES"/>
        </w:rPr>
        <w:t>Alcance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994A8B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14:paraId="34AF49D1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</w:rPr>
        <w:t xml:space="preserve">Los procedimientos que a continuación se detallan se aplican </w:t>
      </w:r>
      <w:r>
        <w:rPr>
          <w:rFonts w:ascii="Arial" w:hAnsi="Arial" w:cs="Arial"/>
          <w:sz w:val="22"/>
          <w:lang w:val="es-ES"/>
        </w:rPr>
        <w:t>a muestras de aerosoles, agua potable y suelo.</w:t>
      </w:r>
    </w:p>
    <w:p w14:paraId="43AF9BDC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42FB24F5" w14:textId="77777777" w:rsidR="00086D8F" w:rsidRPr="00994A8B" w:rsidRDefault="00086D8F" w:rsidP="00086D8F">
      <w:pPr>
        <w:numPr>
          <w:ilvl w:val="0"/>
          <w:numId w:val="4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22"/>
          <w:lang w:val="es-ES"/>
        </w:rPr>
      </w:pPr>
      <w:bookmarkStart w:id="17" w:name="_Toc15109506"/>
      <w:bookmarkStart w:id="18" w:name="_Toc19080529"/>
      <w:bookmarkStart w:id="19" w:name="_Toc21153684"/>
      <w:bookmarkStart w:id="20" w:name="_Toc25390619"/>
      <w:bookmarkStart w:id="21" w:name="_Toc33012313"/>
      <w:bookmarkStart w:id="22" w:name="_Toc39381763"/>
      <w:bookmarkStart w:id="23" w:name="_Toc198715230"/>
      <w:bookmarkStart w:id="24" w:name="_Toc205013877"/>
      <w:r w:rsidRPr="00994A8B">
        <w:rPr>
          <w:rFonts w:ascii="Arial" w:hAnsi="Arial" w:cs="Arial"/>
          <w:b/>
          <w:sz w:val="22"/>
          <w:szCs w:val="22"/>
          <w:lang w:val="es-ES"/>
        </w:rPr>
        <w:t xml:space="preserve">Descripción del procedimiento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7C5A345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</w:rPr>
        <w:t xml:space="preserve">De forma general, para aerosoles se sigue lo indicado en el “Procedimiento para la recepción, conservación y preparación de muestras de aerosoles en filtros y de </w:t>
      </w:r>
      <w:proofErr w:type="spellStart"/>
      <w:r>
        <w:rPr>
          <w:rFonts w:ascii="Arial" w:hAnsi="Arial" w:cs="Arial"/>
          <w:sz w:val="22"/>
        </w:rPr>
        <w:t>radioiodos</w:t>
      </w:r>
      <w:proofErr w:type="spellEnd"/>
      <w:r>
        <w:rPr>
          <w:rFonts w:ascii="Arial" w:hAnsi="Arial" w:cs="Arial"/>
          <w:sz w:val="22"/>
        </w:rPr>
        <w:t xml:space="preserve"> en carbón activo para la determinación de la radioactividad ambiental” [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NOTEREF _Ref205355071 \h 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], </w:t>
      </w:r>
      <w:r>
        <w:rPr>
          <w:rFonts w:ascii="Arial" w:hAnsi="Arial" w:cs="Arial"/>
          <w:sz w:val="22"/>
          <w:lang w:val="es-ES"/>
        </w:rPr>
        <w:t>del CSN. P</w:t>
      </w:r>
      <w:r>
        <w:rPr>
          <w:rFonts w:ascii="Arial" w:hAnsi="Arial" w:cs="Arial"/>
          <w:sz w:val="22"/>
        </w:rPr>
        <w:t>ara la determinación del índice de actividad beta total en aguas, se sigue lo indicado en la norma UNE 73311-4 [</w:t>
      </w:r>
      <w:r w:rsidRPr="00056C9E">
        <w:rPr>
          <w:rStyle w:val="Refdenotaalfinal"/>
          <w:rFonts w:ascii="Arial" w:hAnsi="Arial" w:cs="Arial"/>
          <w:sz w:val="22"/>
        </w:rPr>
        <w:endnoteReference w:id="1"/>
      </w:r>
      <w:r>
        <w:rPr>
          <w:rFonts w:ascii="Arial" w:hAnsi="Arial" w:cs="Arial"/>
          <w:sz w:val="22"/>
        </w:rPr>
        <w:t xml:space="preserve">] y en los “Procedimientos de </w:t>
      </w:r>
      <w:r>
        <w:rPr>
          <w:rFonts w:ascii="Arial" w:hAnsi="Arial" w:cs="Arial"/>
          <w:sz w:val="22"/>
          <w:lang w:val="es-ES"/>
        </w:rPr>
        <w:t>determinación de los índices de actividad beta total y beta resto en aguas mediante contador proporcional” [</w:t>
      </w:r>
      <w:r w:rsidRPr="00EF234F">
        <w:rPr>
          <w:rStyle w:val="Refdenotaalfinal"/>
          <w:rFonts w:ascii="Arial" w:hAnsi="Arial" w:cs="Arial"/>
          <w:sz w:val="22"/>
          <w:lang w:val="es-ES"/>
        </w:rPr>
        <w:endnoteReference w:id="2"/>
      </w:r>
      <w:r>
        <w:rPr>
          <w:rFonts w:ascii="Arial" w:hAnsi="Arial" w:cs="Arial"/>
          <w:sz w:val="22"/>
          <w:lang w:val="es-ES"/>
        </w:rPr>
        <w:t xml:space="preserve">], del CSN. </w:t>
      </w:r>
      <w:r>
        <w:rPr>
          <w:rFonts w:ascii="Arial" w:hAnsi="Arial" w:cs="Arial"/>
          <w:sz w:val="22"/>
        </w:rPr>
        <w:t>Para las muestras de suelo se utiliza la norma UNE 73311-5, “Procedimiento para la conservación y preparación de muestras de suelo para la determinación de radiactividad ambiental” [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NOTEREF _Ref208656417 \h 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separate"/>
      </w:r>
      <w:r>
        <w:rPr>
          <w:rFonts w:ascii="Arial" w:hAnsi="Arial" w:cs="Arial"/>
          <w:sz w:val="22"/>
        </w:rPr>
        <w:t>9</w:t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]. </w:t>
      </w:r>
    </w:p>
    <w:p w14:paraId="341566DC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determinación de la actividad beta total se lleva a cabo mediante un contador proporcional de bajo fondo.</w:t>
      </w:r>
    </w:p>
    <w:p w14:paraId="3417C2C4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</w:p>
    <w:p w14:paraId="0E979F90" w14:textId="77777777" w:rsidR="00086D8F" w:rsidRPr="00994A8B" w:rsidRDefault="00086D8F" w:rsidP="00086D8F">
      <w:pPr>
        <w:numPr>
          <w:ilvl w:val="0"/>
          <w:numId w:val="4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</w:rPr>
      </w:pPr>
      <w:r w:rsidRPr="00E14767">
        <w:rPr>
          <w:rFonts w:ascii="Arial" w:hAnsi="Arial" w:cs="Arial"/>
          <w:b/>
          <w:sz w:val="22"/>
        </w:rPr>
        <w:t>Equipos</w:t>
      </w:r>
      <w:r w:rsidRPr="00994A8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y m</w:t>
      </w:r>
      <w:r w:rsidRPr="00994A8B">
        <w:rPr>
          <w:rFonts w:ascii="Arial" w:hAnsi="Arial" w:cs="Arial"/>
          <w:b/>
          <w:sz w:val="22"/>
        </w:rPr>
        <w:t xml:space="preserve">aterial </w:t>
      </w:r>
    </w:p>
    <w:p w14:paraId="5F93DE18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Contador α-β proporcional de bajo fondo, marca Canberra, modelo LB-4200 (cuatro planchetas).</w:t>
      </w:r>
    </w:p>
    <w:p w14:paraId="46BC2BBD" w14:textId="77777777" w:rsidR="00086D8F" w:rsidRPr="00F1404D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Balanza analítica.</w:t>
      </w:r>
    </w:p>
    <w:p w14:paraId="3BE6D684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Planchetas de acero inoxidable de 50 mm de diámetro (</w:t>
      </w:r>
      <w:proofErr w:type="spellStart"/>
      <w:r>
        <w:rPr>
          <w:rFonts w:ascii="Arial" w:hAnsi="Arial" w:cs="Arial"/>
          <w:sz w:val="22"/>
        </w:rPr>
        <w:t>Tecnasa</w:t>
      </w:r>
      <w:proofErr w:type="spellEnd"/>
      <w:r>
        <w:rPr>
          <w:rFonts w:ascii="Arial" w:hAnsi="Arial" w:cs="Arial"/>
          <w:sz w:val="22"/>
        </w:rPr>
        <w:t>).</w:t>
      </w:r>
    </w:p>
    <w:p w14:paraId="21C04C2A" w14:textId="77777777" w:rsidR="00086D8F" w:rsidRPr="006031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lang w:val="pt-PT"/>
        </w:rPr>
      </w:pPr>
      <w:r w:rsidRPr="0060318F">
        <w:rPr>
          <w:rFonts w:ascii="Arial" w:hAnsi="Arial" w:cs="Arial"/>
          <w:sz w:val="22"/>
          <w:lang w:val="pt-PT"/>
        </w:rPr>
        <w:t>Cápsulas Petri plásticas de 55 mm de diámetro.</w:t>
      </w:r>
    </w:p>
    <w:p w14:paraId="6936A24D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Filtros de celulosa de 0.8 µm de poro y 47 mm de diámetro (Millipore).</w:t>
      </w:r>
    </w:p>
    <w:p w14:paraId="6FFD42E7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Placa de agitación y calefacción.</w:t>
      </w:r>
    </w:p>
    <w:p w14:paraId="61FC9D70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Lámpara de infrarrojos.</w:t>
      </w:r>
    </w:p>
    <w:p w14:paraId="3330C5E7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Material de vidrio de laboratorio (vasos de precipitados, probetas, pipetas, etc.).</w:t>
      </w:r>
    </w:p>
    <w:p w14:paraId="7124FE30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Desecador.</w:t>
      </w:r>
    </w:p>
    <w:p w14:paraId="33387E62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Tamiz de malla cuadrada 0.25 </w:t>
      </w:r>
      <w:proofErr w:type="spellStart"/>
      <w:r>
        <w:rPr>
          <w:rFonts w:ascii="Arial" w:hAnsi="Arial" w:cs="Arial"/>
          <w:sz w:val="22"/>
        </w:rPr>
        <w:t>mm.</w:t>
      </w:r>
      <w:proofErr w:type="spellEnd"/>
    </w:p>
    <w:p w14:paraId="195554B0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Mortero y mazo.</w:t>
      </w:r>
    </w:p>
    <w:p w14:paraId="799EAAAB" w14:textId="77777777" w:rsidR="00086D8F" w:rsidRDefault="00086D8F" w:rsidP="00086D8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Ácido nítrico 53%, calidad PA (</w:t>
      </w:r>
      <w:proofErr w:type="spellStart"/>
      <w:r>
        <w:rPr>
          <w:rFonts w:ascii="Arial" w:hAnsi="Arial" w:cs="Arial"/>
          <w:sz w:val="22"/>
        </w:rPr>
        <w:t>Scharlau</w:t>
      </w:r>
      <w:proofErr w:type="spellEnd"/>
      <w:r>
        <w:rPr>
          <w:rFonts w:ascii="Arial" w:hAnsi="Arial" w:cs="Arial"/>
          <w:sz w:val="22"/>
        </w:rPr>
        <w:t>).</w:t>
      </w:r>
    </w:p>
    <w:p w14:paraId="27E8FF14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</w:p>
    <w:p w14:paraId="308E64A7" w14:textId="77777777" w:rsidR="00086D8F" w:rsidRPr="00994A8B" w:rsidRDefault="00086D8F" w:rsidP="00086D8F">
      <w:pPr>
        <w:numPr>
          <w:ilvl w:val="0"/>
          <w:numId w:val="4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Tratamiento de la muestra</w:t>
      </w:r>
      <w:r w:rsidRPr="00994A8B">
        <w:rPr>
          <w:rFonts w:ascii="Arial" w:hAnsi="Arial" w:cs="Arial"/>
          <w:b/>
          <w:sz w:val="22"/>
        </w:rPr>
        <w:t xml:space="preserve"> </w:t>
      </w:r>
    </w:p>
    <w:p w14:paraId="61B831F5" w14:textId="77777777" w:rsidR="00086D8F" w:rsidRPr="00E14767" w:rsidRDefault="00086D8F" w:rsidP="00086D8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u w:val="single"/>
        </w:rPr>
      </w:pPr>
      <w:r w:rsidRPr="00E14767">
        <w:rPr>
          <w:rFonts w:ascii="Arial" w:hAnsi="Arial" w:cs="Arial"/>
          <w:sz w:val="22"/>
          <w:u w:val="single"/>
        </w:rPr>
        <w:t>Aerosoles</w:t>
      </w:r>
    </w:p>
    <w:p w14:paraId="7261754B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La determinación se realiza directamente sobre cada uno de los filtros individuales (correspondiente a una semana), colocado sobre una plancheta de acero inoxidable. </w:t>
      </w:r>
    </w:p>
    <w:p w14:paraId="1FDDB0AA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</w:p>
    <w:p w14:paraId="16CF2B53" w14:textId="77777777" w:rsidR="00086D8F" w:rsidRDefault="00086D8F" w:rsidP="00086D8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u w:val="single"/>
          <w:lang w:val="es-ES"/>
        </w:rPr>
      </w:pPr>
      <w:r w:rsidRPr="00E14767">
        <w:rPr>
          <w:rFonts w:ascii="Arial" w:hAnsi="Arial" w:cs="Arial"/>
          <w:sz w:val="22"/>
          <w:u w:val="single"/>
        </w:rPr>
        <w:t>Agua potable</w:t>
      </w:r>
    </w:p>
    <w:p w14:paraId="24BDC028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 w:rsidRPr="00030B47">
        <w:rPr>
          <w:rFonts w:ascii="Arial" w:hAnsi="Arial" w:cs="Arial"/>
          <w:sz w:val="22"/>
          <w:lang w:val="es-ES"/>
        </w:rPr>
        <w:t xml:space="preserve">La preparación </w:t>
      </w:r>
      <w:r>
        <w:rPr>
          <w:rFonts w:ascii="Arial" w:hAnsi="Arial" w:cs="Arial"/>
          <w:sz w:val="22"/>
          <w:lang w:val="es-ES"/>
        </w:rPr>
        <w:t xml:space="preserve">de las </w:t>
      </w:r>
      <w:r>
        <w:rPr>
          <w:rFonts w:ascii="Arial" w:hAnsi="Arial" w:cs="Arial"/>
          <w:sz w:val="22"/>
        </w:rPr>
        <w:t>muestras de agua potable se basa en un proceso de evaporación, hasta sequedad.</w:t>
      </w:r>
    </w:p>
    <w:p w14:paraId="1E81906E" w14:textId="77777777" w:rsidR="00086D8F" w:rsidRPr="00030B47" w:rsidRDefault="00086D8F" w:rsidP="00086D8F">
      <w:pPr>
        <w:numPr>
          <w:ilvl w:val="0"/>
          <w:numId w:val="6"/>
        </w:numPr>
        <w:spacing w:line="360" w:lineRule="auto"/>
        <w:ind w:left="426" w:hanging="142"/>
        <w:jc w:val="both"/>
        <w:rPr>
          <w:rFonts w:ascii="Arial" w:hAnsi="Arial" w:cs="Arial"/>
          <w:sz w:val="22"/>
          <w:u w:val="single"/>
          <w:lang w:val="es-ES"/>
        </w:rPr>
      </w:pPr>
      <w:r>
        <w:rPr>
          <w:rFonts w:ascii="Arial" w:hAnsi="Arial" w:cs="Arial"/>
          <w:sz w:val="22"/>
        </w:rPr>
        <w:t>Se toma un volumen de 500 ml de la muestra acidificada</w:t>
      </w:r>
      <w:r w:rsidRPr="00030B47">
        <w:rPr>
          <w:rFonts w:ascii="Arial" w:hAnsi="Arial" w:cs="Arial"/>
          <w:sz w:val="22"/>
        </w:rPr>
        <w:t xml:space="preserve"> y se evapora suavemente con placa de calefacción </w:t>
      </w:r>
      <w:r w:rsidRPr="00030B47">
        <w:rPr>
          <w:rFonts w:ascii="Arial" w:hAnsi="Arial" w:cs="Arial"/>
          <w:sz w:val="22"/>
          <w:lang w:val="es-ES"/>
        </w:rPr>
        <w:t>hasta un volumen aproximado de 5 m</w:t>
      </w:r>
      <w:r>
        <w:rPr>
          <w:rFonts w:ascii="Arial" w:hAnsi="Arial" w:cs="Arial"/>
          <w:sz w:val="22"/>
          <w:lang w:val="es-ES"/>
        </w:rPr>
        <w:t>l</w:t>
      </w:r>
      <w:r w:rsidRPr="00030B47">
        <w:rPr>
          <w:rFonts w:ascii="Arial" w:hAnsi="Arial" w:cs="Arial"/>
          <w:sz w:val="22"/>
          <w:lang w:val="es-ES"/>
        </w:rPr>
        <w:t xml:space="preserve">. </w:t>
      </w:r>
      <w:r>
        <w:rPr>
          <w:rFonts w:ascii="Arial" w:hAnsi="Arial" w:cs="Arial"/>
          <w:sz w:val="22"/>
          <w:lang w:val="es-ES"/>
        </w:rPr>
        <w:t>Para realizar una evaporación controlada, es conveniente trasvasar la muestra, cuando alcanza un volumen &lt; 100 ml, a un vaso de precipitados (100 ml) enjuagando con agua destilada.</w:t>
      </w:r>
    </w:p>
    <w:p w14:paraId="6B8E93E4" w14:textId="506E621B" w:rsidR="00086D8F" w:rsidRPr="00CC7C89" w:rsidRDefault="00086D8F" w:rsidP="00086D8F">
      <w:pPr>
        <w:numPr>
          <w:ilvl w:val="0"/>
          <w:numId w:val="6"/>
        </w:numPr>
        <w:spacing w:line="360" w:lineRule="auto"/>
        <w:ind w:left="426" w:hanging="142"/>
        <w:jc w:val="both"/>
        <w:rPr>
          <w:rFonts w:ascii="Arial" w:hAnsi="Arial" w:cs="Arial"/>
          <w:sz w:val="22"/>
          <w:u w:val="single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Los aproximadamente 5 ml de </w:t>
      </w:r>
      <w:proofErr w:type="gramStart"/>
      <w:r>
        <w:rPr>
          <w:rFonts w:ascii="Arial" w:hAnsi="Arial" w:cs="Arial"/>
          <w:sz w:val="22"/>
          <w:lang w:val="es-ES"/>
        </w:rPr>
        <w:t>muestra,</w:t>
      </w:r>
      <w:proofErr w:type="gramEnd"/>
      <w:r>
        <w:rPr>
          <w:rFonts w:ascii="Arial" w:hAnsi="Arial" w:cs="Arial"/>
          <w:sz w:val="22"/>
          <w:lang w:val="es-ES"/>
        </w:rPr>
        <w:t xml:space="preserve"> se </w:t>
      </w:r>
      <w:r w:rsidRPr="00030B47">
        <w:rPr>
          <w:rFonts w:ascii="Arial" w:hAnsi="Arial" w:cs="Arial"/>
          <w:sz w:val="22"/>
          <w:lang w:val="es-ES"/>
        </w:rPr>
        <w:t>transfiere</w:t>
      </w:r>
      <w:r>
        <w:rPr>
          <w:rFonts w:ascii="Arial" w:hAnsi="Arial" w:cs="Arial"/>
          <w:sz w:val="22"/>
          <w:lang w:val="es-ES"/>
        </w:rPr>
        <w:t>n</w:t>
      </w:r>
      <w:r w:rsidRPr="00030B47">
        <w:rPr>
          <w:rFonts w:ascii="Arial" w:hAnsi="Arial" w:cs="Arial"/>
          <w:sz w:val="22"/>
          <w:lang w:val="es-ES"/>
        </w:rPr>
        <w:t xml:space="preserve"> a una plancheta de acero inoxidable de 5 cm de diámetro. Se lava el vaso con el mínimo volumen necesario de agua destilada y se incorpora el agua de lavado a la plancheta, que se lleva a sequedad </w:t>
      </w:r>
      <w:r>
        <w:rPr>
          <w:rFonts w:ascii="Arial" w:hAnsi="Arial" w:cs="Arial"/>
          <w:sz w:val="22"/>
          <w:lang w:val="es-ES"/>
        </w:rPr>
        <w:t>bajo</w:t>
      </w:r>
      <w:r w:rsidRPr="00030B47">
        <w:rPr>
          <w:rFonts w:ascii="Arial" w:hAnsi="Arial" w:cs="Arial"/>
          <w:sz w:val="22"/>
          <w:lang w:val="es-ES"/>
        </w:rPr>
        <w:t xml:space="preserve"> una lámpara de infrarrojos. </w:t>
      </w:r>
    </w:p>
    <w:p w14:paraId="57CC7A0D" w14:textId="38BE4D46" w:rsidR="00086D8F" w:rsidRDefault="00086D8F" w:rsidP="00086D8F">
      <w:pPr>
        <w:numPr>
          <w:ilvl w:val="0"/>
          <w:numId w:val="2"/>
        </w:numPr>
        <w:spacing w:line="360" w:lineRule="auto"/>
        <w:ind w:left="426" w:hanging="142"/>
        <w:jc w:val="both"/>
        <w:rPr>
          <w:rFonts w:ascii="Arial" w:hAnsi="Arial" w:cs="Arial"/>
          <w:sz w:val="22"/>
        </w:rPr>
      </w:pPr>
      <w:r w:rsidRPr="00CC7C89">
        <w:rPr>
          <w:rFonts w:ascii="Arial" w:hAnsi="Arial" w:cs="Arial"/>
          <w:sz w:val="22"/>
          <w:lang w:val="es-ES"/>
        </w:rPr>
        <w:t xml:space="preserve">La plancheta seca se pesa para calcular la cantidad de sólido depositado. El espesor del sólido depositado no debe superar los </w:t>
      </w:r>
      <w:r w:rsidR="009A0A30">
        <w:rPr>
          <w:rFonts w:ascii="Arial" w:hAnsi="Arial" w:cs="Arial"/>
          <w:sz w:val="22"/>
          <w:lang w:val="es-ES"/>
        </w:rPr>
        <w:t>4</w:t>
      </w:r>
      <w:r w:rsidRPr="00CC7C89">
        <w:rPr>
          <w:rFonts w:ascii="Arial" w:hAnsi="Arial" w:cs="Arial"/>
          <w:sz w:val="22"/>
          <w:lang w:val="es-ES"/>
        </w:rPr>
        <w:t>0 mg</w:t>
      </w:r>
      <w:r>
        <w:rPr>
          <w:rFonts w:ascii="Arial" w:hAnsi="Arial" w:cs="Arial"/>
          <w:sz w:val="22"/>
          <w:lang w:val="es-ES"/>
        </w:rPr>
        <w:t>.</w:t>
      </w:r>
      <w:r w:rsidRPr="00CC7C89">
        <w:rPr>
          <w:rFonts w:ascii="Arial" w:hAnsi="Arial" w:cs="Arial"/>
          <w:sz w:val="22"/>
          <w:lang w:val="es-ES"/>
        </w:rPr>
        <w:t>cm</w:t>
      </w:r>
      <w:r w:rsidRPr="00CC7C89">
        <w:rPr>
          <w:rFonts w:ascii="Arial" w:hAnsi="Arial" w:cs="Arial"/>
          <w:sz w:val="22"/>
          <w:vertAlign w:val="superscript"/>
          <w:lang w:val="es-ES"/>
        </w:rPr>
        <w:t>-2</w:t>
      </w:r>
      <w:r w:rsidRPr="00CC7C89">
        <w:rPr>
          <w:rFonts w:ascii="Arial" w:hAnsi="Arial" w:cs="Arial"/>
          <w:sz w:val="22"/>
        </w:rPr>
        <w:t xml:space="preserve"> para evitar una </w:t>
      </w:r>
      <w:proofErr w:type="spellStart"/>
      <w:r w:rsidRPr="00CC7C89">
        <w:rPr>
          <w:rFonts w:ascii="Arial" w:hAnsi="Arial" w:cs="Arial"/>
          <w:sz w:val="22"/>
        </w:rPr>
        <w:t>autoabsorción</w:t>
      </w:r>
      <w:proofErr w:type="spellEnd"/>
      <w:r w:rsidRPr="00CC7C89">
        <w:rPr>
          <w:rFonts w:ascii="Arial" w:hAnsi="Arial" w:cs="Arial"/>
          <w:sz w:val="22"/>
        </w:rPr>
        <w:t xml:space="preserve"> elevada.</w:t>
      </w:r>
      <w:r w:rsidRPr="00CC7C89">
        <w:rPr>
          <w:rFonts w:ascii="Arial" w:hAnsi="Arial" w:cs="Arial"/>
          <w:sz w:val="22"/>
          <w:lang w:val="es-ES"/>
        </w:rPr>
        <w:t xml:space="preserve"> La plancheta, una vez preparada, se introduce en una placa Petri</w:t>
      </w:r>
      <w:r>
        <w:rPr>
          <w:rFonts w:ascii="Arial" w:hAnsi="Arial" w:cs="Arial"/>
          <w:sz w:val="22"/>
          <w:lang w:val="es-ES"/>
        </w:rPr>
        <w:t>.</w:t>
      </w:r>
      <w:r w:rsidRPr="00CC7C8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La muestra preparada se guarda en un </w:t>
      </w:r>
      <w:r w:rsidRPr="009F5F4D">
        <w:rPr>
          <w:rFonts w:ascii="Arial" w:hAnsi="Arial" w:cs="Arial"/>
          <w:sz w:val="22"/>
        </w:rPr>
        <w:t xml:space="preserve">desecador hasta el momento de la medida de su actividad con el contador proporcional. </w:t>
      </w:r>
    </w:p>
    <w:p w14:paraId="5A733809" w14:textId="77777777" w:rsidR="00086D8F" w:rsidRPr="00CC7C89" w:rsidRDefault="00086D8F" w:rsidP="00086D8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2"/>
          <w:u w:val="single"/>
          <w:lang w:val="es-ES"/>
        </w:rPr>
      </w:pPr>
    </w:p>
    <w:p w14:paraId="1139A004" w14:textId="77777777" w:rsidR="00086D8F" w:rsidRPr="00CC7C89" w:rsidRDefault="00086D8F" w:rsidP="00086D8F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u w:val="single"/>
          <w:lang w:val="es-ES"/>
        </w:rPr>
      </w:pPr>
      <w:r w:rsidRPr="00CC7C89">
        <w:rPr>
          <w:rFonts w:ascii="Arial" w:hAnsi="Arial" w:cs="Arial"/>
          <w:sz w:val="22"/>
          <w:u w:val="single"/>
          <w:lang w:val="es-ES"/>
        </w:rPr>
        <w:t>Suelo</w:t>
      </w:r>
    </w:p>
    <w:p w14:paraId="6ABC7EC2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La determinación de la actividad beta total, se realiza sobre una </w:t>
      </w:r>
      <w:proofErr w:type="spellStart"/>
      <w:r>
        <w:rPr>
          <w:rFonts w:ascii="Arial" w:hAnsi="Arial" w:cs="Arial"/>
          <w:sz w:val="22"/>
          <w:lang w:val="es-ES"/>
        </w:rPr>
        <w:t>sub-muestra</w:t>
      </w:r>
      <w:proofErr w:type="spellEnd"/>
      <w:r>
        <w:rPr>
          <w:rFonts w:ascii="Arial" w:hAnsi="Arial" w:cs="Arial"/>
          <w:sz w:val="22"/>
          <w:lang w:val="es-ES"/>
        </w:rPr>
        <w:t xml:space="preserve"> de suelo (~ 5 kg), la cual se coloca en</w:t>
      </w:r>
      <w:r w:rsidRPr="00E14767">
        <w:rPr>
          <w:rFonts w:ascii="Arial" w:hAnsi="Arial" w:cs="Arial"/>
          <w:sz w:val="22"/>
          <w:lang w:val="es-ES"/>
        </w:rPr>
        <w:t xml:space="preserve"> un recipiente de aluminio.</w:t>
      </w:r>
    </w:p>
    <w:p w14:paraId="5C57D95A" w14:textId="77777777" w:rsidR="00086D8F" w:rsidRDefault="00086D8F" w:rsidP="00086D8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sz w:val="22"/>
          <w:lang w:val="es-ES"/>
        </w:rPr>
      </w:pPr>
      <w:r w:rsidRPr="00E14767">
        <w:rPr>
          <w:rFonts w:ascii="Arial" w:hAnsi="Arial" w:cs="Arial"/>
          <w:sz w:val="22"/>
          <w:lang w:val="es-ES"/>
        </w:rPr>
        <w:t>Se pesa y se introduce en una estufa a 110</w:t>
      </w:r>
      <w:r>
        <w:rPr>
          <w:rFonts w:ascii="Arial" w:hAnsi="Arial" w:cs="Arial"/>
          <w:sz w:val="22"/>
          <w:lang w:val="es-ES"/>
        </w:rPr>
        <w:t xml:space="preserve"> </w:t>
      </w:r>
      <w:proofErr w:type="spellStart"/>
      <w:r w:rsidRPr="00E14767">
        <w:rPr>
          <w:rFonts w:ascii="Arial" w:hAnsi="Arial" w:cs="Arial"/>
          <w:sz w:val="22"/>
          <w:vertAlign w:val="superscript"/>
          <w:lang w:val="es-ES"/>
        </w:rPr>
        <w:t>o</w:t>
      </w:r>
      <w:r w:rsidRPr="00E14767">
        <w:rPr>
          <w:rFonts w:ascii="Arial" w:hAnsi="Arial" w:cs="Arial"/>
          <w:sz w:val="22"/>
          <w:lang w:val="es-ES"/>
        </w:rPr>
        <w:t>C</w:t>
      </w:r>
      <w:proofErr w:type="spellEnd"/>
      <w:r w:rsidRPr="00E14767">
        <w:rPr>
          <w:rFonts w:ascii="Arial" w:hAnsi="Arial" w:cs="Arial"/>
          <w:sz w:val="22"/>
          <w:lang w:val="es-ES"/>
        </w:rPr>
        <w:t xml:space="preserve"> durante </w:t>
      </w:r>
      <w:r>
        <w:rPr>
          <w:rFonts w:ascii="Arial" w:hAnsi="Arial" w:cs="Arial"/>
          <w:sz w:val="22"/>
          <w:lang w:val="es-ES"/>
        </w:rPr>
        <w:t xml:space="preserve">el tiempo que sea necesario para alcanzar peso constante (&gt; </w:t>
      </w:r>
      <w:r w:rsidRPr="00E14767">
        <w:rPr>
          <w:rFonts w:ascii="Arial" w:hAnsi="Arial" w:cs="Arial"/>
          <w:sz w:val="22"/>
          <w:lang w:val="es-ES"/>
        </w:rPr>
        <w:t>24 horas</w:t>
      </w:r>
      <w:r>
        <w:rPr>
          <w:rFonts w:ascii="Arial" w:hAnsi="Arial" w:cs="Arial"/>
          <w:sz w:val="22"/>
          <w:lang w:val="es-ES"/>
        </w:rPr>
        <w:t>)</w:t>
      </w:r>
      <w:r w:rsidRPr="00E14767">
        <w:rPr>
          <w:rFonts w:ascii="Arial" w:hAnsi="Arial" w:cs="Arial"/>
          <w:sz w:val="22"/>
          <w:lang w:val="es-ES"/>
        </w:rPr>
        <w:t xml:space="preserve">. </w:t>
      </w:r>
      <w:r>
        <w:rPr>
          <w:rFonts w:ascii="Arial" w:hAnsi="Arial" w:cs="Arial"/>
          <w:sz w:val="22"/>
          <w:lang w:val="es-ES"/>
        </w:rPr>
        <w:t xml:space="preserve">Antes de pesar la muestra se espera que alcance temperatura ambiente. Por diferencia de peso, </w:t>
      </w:r>
      <w:r w:rsidRPr="00E14767">
        <w:rPr>
          <w:rFonts w:ascii="Arial" w:hAnsi="Arial" w:cs="Arial"/>
          <w:sz w:val="22"/>
          <w:lang w:val="es-ES"/>
        </w:rPr>
        <w:t xml:space="preserve">se calcula el porcentaje de humedad </w:t>
      </w:r>
      <w:r>
        <w:rPr>
          <w:rFonts w:ascii="Arial" w:hAnsi="Arial" w:cs="Arial"/>
          <w:sz w:val="22"/>
          <w:lang w:val="es-ES"/>
        </w:rPr>
        <w:t>de</w:t>
      </w:r>
      <w:r w:rsidRPr="00E14767">
        <w:rPr>
          <w:rFonts w:ascii="Arial" w:hAnsi="Arial" w:cs="Arial"/>
          <w:sz w:val="22"/>
          <w:lang w:val="es-ES"/>
        </w:rPr>
        <w:t xml:space="preserve"> la muestra inicial. </w:t>
      </w:r>
    </w:p>
    <w:p w14:paraId="313A3BB8" w14:textId="77777777" w:rsidR="00086D8F" w:rsidRDefault="00086D8F" w:rsidP="00086D8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sz w:val="22"/>
          <w:lang w:val="es-ES"/>
        </w:rPr>
      </w:pPr>
      <w:r w:rsidRPr="00E14767">
        <w:rPr>
          <w:rFonts w:ascii="Arial" w:hAnsi="Arial" w:cs="Arial"/>
          <w:sz w:val="22"/>
          <w:lang w:val="es-ES"/>
        </w:rPr>
        <w:t xml:space="preserve">Una porción de la muestra seca (~ 2 kg) se tamiza </w:t>
      </w:r>
      <w:r>
        <w:rPr>
          <w:rFonts w:ascii="Arial" w:hAnsi="Arial" w:cs="Arial"/>
          <w:sz w:val="22"/>
          <w:lang w:val="es-ES"/>
        </w:rPr>
        <w:t xml:space="preserve">a través de un tamiz de 250 µm de malla, </w:t>
      </w:r>
      <w:r w:rsidRPr="00E14767">
        <w:rPr>
          <w:rFonts w:ascii="Arial" w:hAnsi="Arial" w:cs="Arial"/>
          <w:sz w:val="22"/>
          <w:lang w:val="es-ES"/>
        </w:rPr>
        <w:t xml:space="preserve">y en </w:t>
      </w:r>
      <w:r>
        <w:rPr>
          <w:rFonts w:ascii="Arial" w:hAnsi="Arial" w:cs="Arial"/>
          <w:sz w:val="22"/>
          <w:lang w:val="es-ES"/>
        </w:rPr>
        <w:t xml:space="preserve">la fracción &lt; 250 µm </w:t>
      </w:r>
      <w:r w:rsidRPr="00E14767">
        <w:rPr>
          <w:rFonts w:ascii="Arial" w:hAnsi="Arial" w:cs="Arial"/>
          <w:sz w:val="22"/>
          <w:lang w:val="es-ES"/>
        </w:rPr>
        <w:t>se lleva a cabo la determinaci</w:t>
      </w:r>
      <w:r>
        <w:rPr>
          <w:rFonts w:ascii="Arial" w:hAnsi="Arial" w:cs="Arial"/>
          <w:sz w:val="22"/>
          <w:lang w:val="es-ES"/>
        </w:rPr>
        <w:t>ón</w:t>
      </w:r>
      <w:r w:rsidRPr="00E14767">
        <w:rPr>
          <w:rFonts w:ascii="Arial" w:hAnsi="Arial" w:cs="Arial"/>
          <w:sz w:val="22"/>
          <w:lang w:val="es-ES"/>
        </w:rPr>
        <w:t xml:space="preserve"> de actividad beta total.</w:t>
      </w:r>
    </w:p>
    <w:p w14:paraId="2211DC82" w14:textId="77777777" w:rsidR="00086D8F" w:rsidRDefault="00086D8F" w:rsidP="00086D8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lastRenderedPageBreak/>
        <w:t xml:space="preserve">Se colocan 200 mg de muestra seca tamizada </w:t>
      </w:r>
      <w:r w:rsidRPr="00E14767">
        <w:rPr>
          <w:rFonts w:ascii="Arial" w:hAnsi="Arial" w:cs="Arial"/>
          <w:sz w:val="22"/>
          <w:lang w:val="es-ES"/>
        </w:rPr>
        <w:t xml:space="preserve">en una plancheta de acero previamente tarada. </w:t>
      </w:r>
    </w:p>
    <w:p w14:paraId="224538D3" w14:textId="77777777" w:rsidR="00086D8F" w:rsidRDefault="00086D8F" w:rsidP="00086D8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sz w:val="22"/>
          <w:lang w:val="es-ES"/>
        </w:rPr>
      </w:pPr>
      <w:r w:rsidRPr="00E14767">
        <w:rPr>
          <w:rFonts w:ascii="Arial" w:hAnsi="Arial" w:cs="Arial"/>
          <w:sz w:val="22"/>
          <w:lang w:val="es-ES"/>
        </w:rPr>
        <w:t>Se añade</w:t>
      </w:r>
      <w:r>
        <w:rPr>
          <w:rFonts w:ascii="Arial" w:hAnsi="Arial" w:cs="Arial"/>
          <w:sz w:val="22"/>
          <w:lang w:val="es-ES"/>
        </w:rPr>
        <w:t>n</w:t>
      </w:r>
      <w:r w:rsidRPr="00E14767">
        <w:rPr>
          <w:rFonts w:ascii="Arial" w:hAnsi="Arial" w:cs="Arial"/>
          <w:sz w:val="22"/>
          <w:lang w:val="es-ES"/>
        </w:rPr>
        <w:t xml:space="preserve"> 1 m</w:t>
      </w:r>
      <w:r>
        <w:rPr>
          <w:rFonts w:ascii="Arial" w:hAnsi="Arial" w:cs="Arial"/>
          <w:sz w:val="22"/>
          <w:lang w:val="es-ES"/>
        </w:rPr>
        <w:t>l</w:t>
      </w:r>
      <w:r w:rsidRPr="00E14767">
        <w:rPr>
          <w:rFonts w:ascii="Arial" w:hAnsi="Arial" w:cs="Arial"/>
          <w:sz w:val="22"/>
          <w:lang w:val="es-ES"/>
        </w:rPr>
        <w:t xml:space="preserve"> de disolución de reactivo </w:t>
      </w:r>
      <w:r>
        <w:rPr>
          <w:rFonts w:ascii="Arial" w:hAnsi="Arial" w:cs="Arial"/>
          <w:sz w:val="22"/>
          <w:lang w:val="es-ES"/>
        </w:rPr>
        <w:t xml:space="preserve">de </w:t>
      </w:r>
      <w:r w:rsidRPr="00E14767">
        <w:rPr>
          <w:rFonts w:ascii="Arial" w:hAnsi="Arial" w:cs="Arial"/>
          <w:sz w:val="22"/>
          <w:lang w:val="es-ES"/>
        </w:rPr>
        <w:t>sílice y 5 m</w:t>
      </w:r>
      <w:r>
        <w:rPr>
          <w:rFonts w:ascii="Arial" w:hAnsi="Arial" w:cs="Arial"/>
          <w:sz w:val="22"/>
          <w:lang w:val="es-ES"/>
        </w:rPr>
        <w:t>l</w:t>
      </w:r>
      <w:r w:rsidRPr="00E14767">
        <w:rPr>
          <w:rFonts w:ascii="Arial" w:hAnsi="Arial" w:cs="Arial"/>
          <w:sz w:val="22"/>
          <w:lang w:val="es-ES"/>
        </w:rPr>
        <w:t xml:space="preserve"> de H</w:t>
      </w:r>
      <w:r w:rsidRPr="00E14767">
        <w:rPr>
          <w:rFonts w:ascii="Arial" w:hAnsi="Arial" w:cs="Arial"/>
          <w:sz w:val="22"/>
          <w:vertAlign w:val="subscript"/>
          <w:lang w:val="es-ES"/>
        </w:rPr>
        <w:t>2</w:t>
      </w:r>
      <w:r w:rsidRPr="00E14767">
        <w:rPr>
          <w:rFonts w:ascii="Arial" w:hAnsi="Arial" w:cs="Arial"/>
          <w:sz w:val="22"/>
          <w:lang w:val="es-ES"/>
        </w:rPr>
        <w:t xml:space="preserve">O destilada. </w:t>
      </w:r>
    </w:p>
    <w:p w14:paraId="54A1C913" w14:textId="77777777" w:rsidR="00086D8F" w:rsidRPr="0076221B" w:rsidRDefault="00086D8F" w:rsidP="00086D8F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 w:hanging="142"/>
        <w:jc w:val="both"/>
        <w:rPr>
          <w:rFonts w:ascii="Arial" w:hAnsi="Arial" w:cs="Arial"/>
          <w:sz w:val="22"/>
          <w:lang w:val="es-ES"/>
        </w:rPr>
      </w:pPr>
      <w:r w:rsidRPr="0076221B">
        <w:rPr>
          <w:rFonts w:ascii="Arial" w:hAnsi="Arial" w:cs="Arial"/>
          <w:sz w:val="22"/>
          <w:lang w:val="es-ES"/>
        </w:rPr>
        <w:t xml:space="preserve">Se evapora a sequedad bajo lámpara de infrarrojos. La plancheta se </w:t>
      </w:r>
      <w:r>
        <w:rPr>
          <w:rFonts w:ascii="Arial" w:hAnsi="Arial" w:cs="Arial"/>
          <w:sz w:val="22"/>
          <w:lang w:val="es-ES"/>
        </w:rPr>
        <w:t xml:space="preserve">coloca </w:t>
      </w:r>
      <w:r>
        <w:rPr>
          <w:rFonts w:ascii="Arial" w:hAnsi="Arial" w:cs="Arial"/>
          <w:sz w:val="22"/>
        </w:rPr>
        <w:t xml:space="preserve">en una cápsula Petri. La muestra preparada se guarda en un </w:t>
      </w:r>
      <w:r w:rsidRPr="009F5F4D">
        <w:rPr>
          <w:rFonts w:ascii="Arial" w:hAnsi="Arial" w:cs="Arial"/>
          <w:sz w:val="22"/>
        </w:rPr>
        <w:t>desecador hasta el momento de la medida de su actividad con el contador proporcional.</w:t>
      </w:r>
    </w:p>
    <w:p w14:paraId="5DABB03F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1E9552A1" w14:textId="77777777" w:rsidR="00086D8F" w:rsidRPr="0076221B" w:rsidRDefault="00086D8F" w:rsidP="00086D8F">
      <w:pPr>
        <w:pStyle w:val="Encabezado"/>
        <w:numPr>
          <w:ilvl w:val="0"/>
          <w:numId w:val="4"/>
        </w:numPr>
        <w:tabs>
          <w:tab w:val="clear" w:pos="4819"/>
          <w:tab w:val="clear" w:pos="9071"/>
        </w:tabs>
        <w:spacing w:line="360" w:lineRule="auto"/>
        <w:ind w:left="567" w:right="474" w:hanging="567"/>
        <w:rPr>
          <w:rFonts w:ascii="Arial" w:hAnsi="Arial" w:cs="Arial"/>
          <w:sz w:val="22"/>
          <w:lang w:val="es-ES"/>
        </w:rPr>
      </w:pPr>
      <w:r w:rsidRPr="00994A8B">
        <w:rPr>
          <w:rFonts w:ascii="Arial" w:hAnsi="Arial" w:cs="Arial"/>
          <w:b/>
          <w:sz w:val="22"/>
          <w:lang w:val="es-ES"/>
        </w:rPr>
        <w:t>Calibración</w:t>
      </w:r>
    </w:p>
    <w:p w14:paraId="618FB9FC" w14:textId="77777777" w:rsidR="00086D8F" w:rsidRDefault="00086D8F" w:rsidP="00086D8F">
      <w:pPr>
        <w:pStyle w:val="Encabezado"/>
        <w:tabs>
          <w:tab w:val="clear" w:pos="4819"/>
          <w:tab w:val="clear" w:pos="9071"/>
        </w:tabs>
        <w:spacing w:line="360" w:lineRule="auto"/>
        <w:ind w:right="-1"/>
        <w:rPr>
          <w:rFonts w:ascii="Arial" w:hAnsi="Arial" w:cs="Arial"/>
          <w:sz w:val="22"/>
          <w:lang w:val="es-ES"/>
        </w:rPr>
      </w:pPr>
      <w:r w:rsidRPr="0076221B">
        <w:rPr>
          <w:rFonts w:ascii="Arial" w:hAnsi="Arial" w:cs="Arial"/>
          <w:sz w:val="22"/>
          <w:lang w:val="es-ES"/>
        </w:rPr>
        <w:t xml:space="preserve">Se realiza con patrones de </w:t>
      </w:r>
      <w:r w:rsidRPr="0076221B">
        <w:rPr>
          <w:rFonts w:ascii="Arial" w:hAnsi="Arial" w:cs="Arial"/>
          <w:sz w:val="22"/>
          <w:vertAlign w:val="superscript"/>
          <w:lang w:val="es-ES"/>
        </w:rPr>
        <w:t>90</w:t>
      </w:r>
      <w:r w:rsidRPr="0076221B">
        <w:rPr>
          <w:rFonts w:ascii="Arial" w:hAnsi="Arial" w:cs="Arial"/>
          <w:sz w:val="22"/>
          <w:lang w:val="es-ES"/>
        </w:rPr>
        <w:t>Sr</w:t>
      </w:r>
      <w:r>
        <w:rPr>
          <w:rFonts w:ascii="Arial" w:hAnsi="Arial" w:cs="Arial"/>
          <w:sz w:val="22"/>
          <w:lang w:val="es-ES"/>
        </w:rPr>
        <w:t>-</w:t>
      </w:r>
      <w:r w:rsidRPr="00A55082">
        <w:rPr>
          <w:rFonts w:ascii="Arial" w:hAnsi="Arial" w:cs="Arial"/>
          <w:sz w:val="22"/>
          <w:vertAlign w:val="superscript"/>
          <w:lang w:val="es-ES"/>
        </w:rPr>
        <w:t>90</w:t>
      </w:r>
      <w:r>
        <w:rPr>
          <w:rFonts w:ascii="Arial" w:hAnsi="Arial" w:cs="Arial"/>
          <w:sz w:val="22"/>
          <w:lang w:val="es-ES"/>
        </w:rPr>
        <w:t>Y</w:t>
      </w:r>
      <w:r w:rsidRPr="0076221B">
        <w:rPr>
          <w:rFonts w:ascii="Arial" w:hAnsi="Arial" w:cs="Arial"/>
          <w:sz w:val="22"/>
          <w:lang w:val="es-ES"/>
        </w:rPr>
        <w:t>.</w:t>
      </w:r>
      <w:r>
        <w:rPr>
          <w:rFonts w:ascii="Arial" w:hAnsi="Arial" w:cs="Arial"/>
          <w:sz w:val="22"/>
          <w:lang w:val="es-ES"/>
        </w:rPr>
        <w:t xml:space="preserve"> El procedimiento detallado se describe en el apartado 3.2.</w:t>
      </w:r>
    </w:p>
    <w:p w14:paraId="61DEEE08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405EA1EA" w14:textId="77777777" w:rsidR="00086D8F" w:rsidRPr="00994A8B" w:rsidRDefault="00086D8F" w:rsidP="00086D8F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567" w:hanging="567"/>
        <w:jc w:val="both"/>
        <w:rPr>
          <w:rFonts w:ascii="Arial" w:hAnsi="Arial" w:cs="Arial"/>
          <w:b/>
          <w:sz w:val="22"/>
          <w:lang w:val="es-ES"/>
        </w:rPr>
      </w:pPr>
      <w:r w:rsidRPr="00994A8B">
        <w:rPr>
          <w:rFonts w:ascii="Arial" w:hAnsi="Arial" w:cs="Arial"/>
          <w:b/>
          <w:sz w:val="22"/>
          <w:lang w:val="es-ES"/>
        </w:rPr>
        <w:t>Medidas y cálculos</w:t>
      </w:r>
    </w:p>
    <w:p w14:paraId="09767543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Se mide el número total de sucesos en la plancheta de la muestra registrados por el sistema de contaje durante 1000 minutos.</w:t>
      </w:r>
    </w:p>
    <w:p w14:paraId="207D4A5B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La </w:t>
      </w:r>
      <w:r w:rsidRPr="00B16B4D">
        <w:rPr>
          <w:rFonts w:ascii="Arial" w:hAnsi="Arial" w:cs="Arial"/>
          <w:i/>
          <w:sz w:val="22"/>
          <w:lang w:val="es-ES"/>
        </w:rPr>
        <w:t>actividad</w:t>
      </w:r>
      <w:r>
        <w:rPr>
          <w:rFonts w:ascii="Arial" w:hAnsi="Arial" w:cs="Arial"/>
          <w:sz w:val="22"/>
          <w:lang w:val="es-ES"/>
        </w:rPr>
        <w:t xml:space="preserve"> </w:t>
      </w:r>
      <w:r w:rsidRPr="00A55082">
        <w:rPr>
          <w:rFonts w:ascii="Arial" w:hAnsi="Arial" w:cs="Arial"/>
          <w:i/>
          <w:sz w:val="22"/>
          <w:lang w:val="es-ES"/>
        </w:rPr>
        <w:t>beta total</w:t>
      </w:r>
      <w:r>
        <w:rPr>
          <w:rFonts w:ascii="Arial" w:hAnsi="Arial" w:cs="Arial"/>
          <w:sz w:val="22"/>
          <w:lang w:val="es-ES"/>
        </w:rPr>
        <w:t xml:space="preserve"> expresada en Bq·m</w:t>
      </w:r>
      <w:r w:rsidRPr="008717BB">
        <w:rPr>
          <w:rFonts w:ascii="Arial" w:hAnsi="Arial" w:cs="Arial"/>
          <w:sz w:val="22"/>
          <w:vertAlign w:val="superscript"/>
          <w:lang w:val="es-ES"/>
        </w:rPr>
        <w:t>-</w:t>
      </w:r>
      <w:r>
        <w:rPr>
          <w:rFonts w:ascii="Arial" w:hAnsi="Arial" w:cs="Arial"/>
          <w:sz w:val="22"/>
          <w:vertAlign w:val="superscript"/>
          <w:lang w:val="es-ES"/>
        </w:rPr>
        <w:t>3</w:t>
      </w:r>
      <w:r>
        <w:rPr>
          <w:rFonts w:ascii="Arial" w:hAnsi="Arial" w:cs="Arial"/>
          <w:sz w:val="22"/>
          <w:lang w:val="es-ES"/>
        </w:rPr>
        <w:t xml:space="preserve"> o Bq·kg</w:t>
      </w:r>
      <w:r w:rsidRPr="008717BB">
        <w:rPr>
          <w:rFonts w:ascii="Arial" w:hAnsi="Arial" w:cs="Arial"/>
          <w:sz w:val="22"/>
          <w:vertAlign w:val="superscript"/>
          <w:lang w:val="es-ES"/>
        </w:rPr>
        <w:t>-</w:t>
      </w:r>
      <w:r>
        <w:rPr>
          <w:rFonts w:ascii="Arial" w:hAnsi="Arial" w:cs="Arial"/>
          <w:sz w:val="22"/>
          <w:vertAlign w:val="superscript"/>
          <w:lang w:val="es-ES"/>
        </w:rPr>
        <w:t>1</w:t>
      </w:r>
      <w:r>
        <w:rPr>
          <w:rFonts w:ascii="Arial" w:hAnsi="Arial" w:cs="Arial"/>
          <w:sz w:val="22"/>
          <w:lang w:val="es-ES"/>
        </w:rPr>
        <w:t xml:space="preserve"> y referida al </w:t>
      </w:r>
      <w:r>
        <w:rPr>
          <w:rFonts w:ascii="Arial" w:hAnsi="Arial" w:cs="Arial"/>
          <w:sz w:val="22"/>
          <w:vertAlign w:val="superscript"/>
          <w:lang w:val="es-ES"/>
        </w:rPr>
        <w:t>90</w:t>
      </w:r>
      <w:r>
        <w:rPr>
          <w:rFonts w:ascii="Arial" w:hAnsi="Arial" w:cs="Arial"/>
          <w:sz w:val="22"/>
          <w:lang w:val="es-ES"/>
        </w:rPr>
        <w:t>Sr-</w:t>
      </w:r>
      <w:r>
        <w:rPr>
          <w:rFonts w:ascii="Arial" w:hAnsi="Arial" w:cs="Arial"/>
          <w:sz w:val="22"/>
          <w:vertAlign w:val="superscript"/>
          <w:lang w:val="es-ES"/>
        </w:rPr>
        <w:t>90</w:t>
      </w:r>
      <w:r>
        <w:rPr>
          <w:rFonts w:ascii="Arial" w:hAnsi="Arial" w:cs="Arial"/>
          <w:sz w:val="22"/>
          <w:lang w:val="es-ES"/>
        </w:rPr>
        <w:t xml:space="preserve">Y, se calcula como: </w:t>
      </w:r>
    </w:p>
    <w:p w14:paraId="019A55B0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18D5DF23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FF0000"/>
          <w:sz w:val="22"/>
        </w:rPr>
      </w:pPr>
      <m:oMathPara>
        <m:oMath>
          <m:r>
            <w:rPr>
              <w:rFonts w:ascii="Cambria Math" w:hAnsi="Cambria Math"/>
              <w:lang w:val="en-US"/>
            </w:rPr>
            <m:t>Act=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cpm</m:t>
                  </m:r>
                  <m:r>
                    <w:rPr>
                      <w:rFonts w:ascii="Cambria Math" w:hAnsi="Cambria Math"/>
                    </w:rPr>
                    <m:t>β-cpmbβ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-γ*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cpmα-cpmb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60*E*F*V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FDDFCE8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623C48A7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donde</w:t>
      </w:r>
    </w:p>
    <w:p w14:paraId="3DBC1445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</w:t>
      </w:r>
      <w:proofErr w:type="spellEnd"/>
      <w:r>
        <w:rPr>
          <w:rFonts w:ascii="Arial" w:hAnsi="Arial" w:cs="Arial"/>
          <w:sz w:val="22"/>
        </w:rPr>
        <w:t xml:space="preserve"> β son las cuentas beta por minuto de la muestra en el voltaje beta (1600V), </w:t>
      </w:r>
    </w:p>
    <w:p w14:paraId="73628097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 xml:space="preserve"> β son las cuentas beta por minuto del blanco en el voltaje beta (1600V),</w:t>
      </w:r>
    </w:p>
    <w:p w14:paraId="24EC25C8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</w:t>
      </w:r>
      <w:proofErr w:type="spellEnd"/>
      <w:r>
        <w:rPr>
          <w:rFonts w:ascii="Arial" w:hAnsi="Arial" w:cs="Arial"/>
          <w:sz w:val="22"/>
        </w:rPr>
        <w:t xml:space="preserve"> α son las cuentas alfa por minuto de la muestra en el voltaje alfa </w:t>
      </w:r>
      <w:r>
        <w:rPr>
          <w:rFonts w:ascii="Arial" w:hAnsi="Arial" w:cs="Arial"/>
          <w:sz w:val="22"/>
          <w:szCs w:val="22"/>
        </w:rPr>
        <w:t>(1100V)</w:t>
      </w:r>
      <w:r w:rsidRPr="00C12D80">
        <w:rPr>
          <w:rFonts w:ascii="Arial" w:hAnsi="Arial" w:cs="Arial"/>
          <w:sz w:val="22"/>
          <w:szCs w:val="22"/>
        </w:rPr>
        <w:t>,</w:t>
      </w:r>
    </w:p>
    <w:p w14:paraId="12722620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 xml:space="preserve"> α</w:t>
      </w:r>
      <w:r>
        <w:rPr>
          <w:rFonts w:ascii="Arial" w:hAnsi="Arial" w:cs="Arial"/>
          <w:sz w:val="22"/>
          <w:vertAlign w:val="subscript"/>
        </w:rPr>
        <w:t xml:space="preserve"> </w:t>
      </w:r>
      <w:r>
        <w:rPr>
          <w:rFonts w:ascii="Arial" w:hAnsi="Arial" w:cs="Arial"/>
          <w:sz w:val="22"/>
        </w:rPr>
        <w:t xml:space="preserve">son las cuentas alfa por minuto del blanco en el voltaje alfa </w:t>
      </w:r>
      <w:r>
        <w:rPr>
          <w:rFonts w:ascii="Arial" w:hAnsi="Arial" w:cs="Arial"/>
          <w:sz w:val="22"/>
          <w:szCs w:val="22"/>
        </w:rPr>
        <w:t>(1100V),</w:t>
      </w:r>
    </w:p>
    <w:p w14:paraId="402D6381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 es la eficiencia del recuento, en tanto por uno,</w:t>
      </w:r>
    </w:p>
    <w:p w14:paraId="284F2973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 es el factor de </w:t>
      </w:r>
      <w:proofErr w:type="spellStart"/>
      <w:r>
        <w:rPr>
          <w:rFonts w:ascii="Arial" w:hAnsi="Arial" w:cs="Arial"/>
          <w:sz w:val="22"/>
        </w:rPr>
        <w:t>autoabsorción</w:t>
      </w:r>
      <w:proofErr w:type="spellEnd"/>
      <w:r>
        <w:rPr>
          <w:rFonts w:ascii="Arial" w:hAnsi="Arial" w:cs="Arial"/>
          <w:sz w:val="22"/>
        </w:rPr>
        <w:t xml:space="preserve"> correspondiente al espesor másico de la muestra,</w:t>
      </w:r>
    </w:p>
    <w:p w14:paraId="7FF5F598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 es el volumen o masa de muestra, en m</w:t>
      </w:r>
      <w:r>
        <w:rPr>
          <w:rFonts w:ascii="Arial" w:hAnsi="Arial" w:cs="Arial"/>
          <w:sz w:val="22"/>
          <w:vertAlign w:val="superscript"/>
        </w:rPr>
        <w:t>3</w:t>
      </w:r>
      <w:r>
        <w:rPr>
          <w:rFonts w:ascii="Arial" w:hAnsi="Arial" w:cs="Arial"/>
          <w:sz w:val="22"/>
        </w:rPr>
        <w:t xml:space="preserve"> o kg,</w:t>
      </w:r>
    </w:p>
    <w:p w14:paraId="19DBB9BD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sym w:font="Symbol" w:char="F067"/>
      </w:r>
      <w:r>
        <w:rPr>
          <w:rFonts w:ascii="Arial" w:hAnsi="Arial" w:cs="Arial"/>
          <w:sz w:val="22"/>
          <w:lang w:val="es-ES"/>
        </w:rPr>
        <w:t xml:space="preserve"> es el </w:t>
      </w:r>
      <w:proofErr w:type="spellStart"/>
      <w:r>
        <w:rPr>
          <w:rFonts w:ascii="Arial" w:hAnsi="Arial" w:cs="Arial"/>
          <w:i/>
          <w:sz w:val="22"/>
          <w:lang w:val="es-ES"/>
        </w:rPr>
        <w:t>spill-over</w:t>
      </w:r>
      <w:proofErr w:type="spellEnd"/>
      <w:r>
        <w:rPr>
          <w:rFonts w:ascii="Arial" w:hAnsi="Arial" w:cs="Arial"/>
          <w:sz w:val="22"/>
          <w:lang w:val="es-ES"/>
        </w:rPr>
        <w:t xml:space="preserve"> de la medida beta, que se expresa como:</w:t>
      </w:r>
    </w:p>
    <w:p w14:paraId="1D714255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b/>
          <w:sz w:val="22"/>
          <w:lang w:val="es-ES"/>
        </w:rPr>
      </w:pPr>
    </w:p>
    <w:p w14:paraId="1D0A72F9" w14:textId="77777777" w:rsidR="00086D8F" w:rsidRDefault="00086D8F" w:rsidP="00086D8F">
      <w:pPr>
        <w:spacing w:line="360" w:lineRule="auto"/>
        <w:jc w:val="center"/>
        <w:rPr>
          <w:rFonts w:ascii="Arial" w:hAnsi="Arial" w:cs="Arial"/>
          <w:b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γ=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cuentas patrón α </m:t>
              </m:r>
              <m:d>
                <m:dPr>
                  <m:ctrlPr>
                    <w:rPr>
                      <w:rFonts w:ascii="Cambria Math" w:eastAsia="Calibri" w:hAnsi="Cambria Math" w:cs="Cambria Math"/>
                      <w:sz w:val="22"/>
                      <w:szCs w:val="22"/>
                      <w:lang w:val="es-E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cuentas patrón α </m:t>
              </m:r>
              <m:d>
                <m:dPr>
                  <m:ctrlPr>
                    <w:rPr>
                      <w:rFonts w:ascii="Cambria Math" w:eastAsia="Calibri" w:hAnsi="Cambria Math" w:cs="Cambria Math"/>
                      <w:sz w:val="22"/>
                      <w:szCs w:val="22"/>
                      <w:lang w:val="es-E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Vα</m:t>
                  </m:r>
                </m:e>
              </m:d>
            </m:den>
          </m:f>
        </m:oMath>
      </m:oMathPara>
    </w:p>
    <w:p w14:paraId="34E987DC" w14:textId="77777777" w:rsidR="00086D8F" w:rsidRDefault="00086D8F" w:rsidP="00086D8F">
      <w:pPr>
        <w:pStyle w:val="Textoindependiente"/>
        <w:rPr>
          <w:rFonts w:ascii="Arial" w:hAnsi="Arial" w:cs="Arial"/>
          <w:sz w:val="22"/>
        </w:rPr>
      </w:pPr>
    </w:p>
    <w:p w14:paraId="7E0DCEBF" w14:textId="77777777" w:rsidR="00086D8F" w:rsidRDefault="00086D8F" w:rsidP="00086D8F">
      <w:pPr>
        <w:pStyle w:val="Textoindependient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donde</w:t>
      </w:r>
    </w:p>
    <w:p w14:paraId="72C16EB1" w14:textId="77777777" w:rsidR="00086D8F" w:rsidRDefault="00086D8F" w:rsidP="00086D8F">
      <w:pPr>
        <w:pStyle w:val="Textoindependiente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i/>
          <w:sz w:val="22"/>
        </w:rPr>
        <w:t>cuentas</w:t>
      </w:r>
      <w:r>
        <w:rPr>
          <w:rFonts w:ascii="Arial" w:hAnsi="Arial" w:cs="Arial"/>
          <w:i/>
          <w:sz w:val="22"/>
          <w:vertAlign w:val="subscript"/>
        </w:rPr>
        <w:t>patrón</w:t>
      </w:r>
      <w:proofErr w:type="spellEnd"/>
      <w:r>
        <w:rPr>
          <w:rFonts w:ascii="Arial" w:hAnsi="Arial" w:cs="Arial"/>
          <w:i/>
          <w:sz w:val="22"/>
          <w:vertAlign w:val="subscript"/>
        </w:rPr>
        <w:t xml:space="preserve"> α </w:t>
      </w:r>
      <w:r>
        <w:rPr>
          <w:rFonts w:ascii="Arial" w:hAnsi="Arial" w:cs="Arial"/>
          <w:i/>
          <w:sz w:val="22"/>
        </w:rPr>
        <w:t>(V</w:t>
      </w:r>
      <w:r w:rsidRPr="00B16B4D">
        <w:rPr>
          <w:rFonts w:ascii="Arial" w:hAnsi="Arial" w:cs="Arial"/>
          <w:i/>
          <w:sz w:val="22"/>
          <w:vertAlign w:val="subscript"/>
        </w:rPr>
        <w:t>β</w:t>
      </w:r>
      <w:r>
        <w:rPr>
          <w:rFonts w:ascii="Arial" w:hAnsi="Arial" w:cs="Arial"/>
          <w:i/>
          <w:sz w:val="22"/>
        </w:rPr>
        <w:t>)</w:t>
      </w:r>
      <w:r>
        <w:rPr>
          <w:rFonts w:ascii="Arial" w:hAnsi="Arial" w:cs="Arial"/>
          <w:sz w:val="22"/>
        </w:rPr>
        <w:t xml:space="preserve"> son las cuentas de un patrón alfa registradas en el voltaje beta en el caso de la medida en modo secuencial o bien en la ventana beta en el caso de la medida en modo simultáneo.</w:t>
      </w:r>
    </w:p>
    <w:p w14:paraId="01C07F81" w14:textId="77777777" w:rsidR="00086D8F" w:rsidRDefault="00086D8F" w:rsidP="00086D8F">
      <w:pPr>
        <w:pStyle w:val="Textoindependiente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i/>
          <w:sz w:val="22"/>
        </w:rPr>
        <w:lastRenderedPageBreak/>
        <w:t>cuentas</w:t>
      </w:r>
      <w:r>
        <w:rPr>
          <w:rFonts w:ascii="Arial" w:hAnsi="Arial" w:cs="Arial"/>
          <w:i/>
          <w:sz w:val="22"/>
          <w:vertAlign w:val="subscript"/>
        </w:rPr>
        <w:t>patrón</w:t>
      </w:r>
      <w:proofErr w:type="spellEnd"/>
      <w:r>
        <w:rPr>
          <w:rFonts w:ascii="Arial" w:hAnsi="Arial" w:cs="Arial"/>
          <w:i/>
          <w:sz w:val="22"/>
          <w:vertAlign w:val="subscript"/>
        </w:rPr>
        <w:t xml:space="preserve"> α </w:t>
      </w:r>
      <w:r>
        <w:rPr>
          <w:rFonts w:ascii="Arial" w:hAnsi="Arial" w:cs="Arial"/>
          <w:i/>
          <w:sz w:val="22"/>
        </w:rPr>
        <w:t>(V</w:t>
      </w:r>
      <w:r w:rsidRPr="00B16B4D">
        <w:rPr>
          <w:rFonts w:ascii="Arial" w:hAnsi="Arial" w:cs="Arial"/>
          <w:i/>
          <w:sz w:val="22"/>
          <w:vertAlign w:val="subscript"/>
        </w:rPr>
        <w:t>α</w:t>
      </w:r>
      <w:r>
        <w:rPr>
          <w:rFonts w:ascii="Arial" w:hAnsi="Arial" w:cs="Arial"/>
          <w:i/>
          <w:sz w:val="22"/>
        </w:rPr>
        <w:t>)</w:t>
      </w:r>
      <w:r>
        <w:rPr>
          <w:rFonts w:ascii="Arial" w:hAnsi="Arial" w:cs="Arial"/>
          <w:sz w:val="22"/>
        </w:rPr>
        <w:t xml:space="preserve"> son las cuentas de un patrón alfa registradas en el voltaje alfa en el caso de la medida en modo secuencial o bien en la ventana alfa en el caso de la medida en modo simultáneo.</w:t>
      </w:r>
    </w:p>
    <w:p w14:paraId="50E82D70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7A522182" w14:textId="03AF67AC" w:rsidR="00086D8F" w:rsidRDefault="00086D8F" w:rsidP="00086D8F">
      <w:pPr>
        <w:pStyle w:val="Textoindependiente"/>
        <w:tabs>
          <w:tab w:val="clear" w:pos="567"/>
        </w:tabs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</w:t>
      </w:r>
    </w:p>
    <w:p w14:paraId="3BDC81B8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156955AD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La </w:t>
      </w:r>
      <w:r w:rsidRPr="00A21C71">
        <w:rPr>
          <w:rFonts w:ascii="Arial" w:hAnsi="Arial" w:cs="Arial"/>
          <w:i/>
          <w:sz w:val="22"/>
          <w:lang w:val="es-ES"/>
        </w:rPr>
        <w:t>actividad mínima detectable</w:t>
      </w:r>
      <w:r>
        <w:rPr>
          <w:rFonts w:ascii="Arial" w:hAnsi="Arial" w:cs="Arial"/>
          <w:sz w:val="22"/>
          <w:lang w:val="es-ES"/>
        </w:rPr>
        <w:t>, en Bq·m</w:t>
      </w:r>
      <w:r w:rsidRPr="008717BB">
        <w:rPr>
          <w:rFonts w:ascii="Arial" w:hAnsi="Arial" w:cs="Arial"/>
          <w:sz w:val="22"/>
          <w:vertAlign w:val="superscript"/>
          <w:lang w:val="es-ES"/>
        </w:rPr>
        <w:t>-</w:t>
      </w:r>
      <w:r>
        <w:rPr>
          <w:rFonts w:ascii="Arial" w:hAnsi="Arial" w:cs="Arial"/>
          <w:sz w:val="22"/>
          <w:vertAlign w:val="superscript"/>
          <w:lang w:val="es-ES"/>
        </w:rPr>
        <w:t>3</w:t>
      </w:r>
      <w:r>
        <w:rPr>
          <w:rFonts w:ascii="Arial" w:hAnsi="Arial" w:cs="Arial"/>
          <w:sz w:val="22"/>
          <w:lang w:val="es-ES"/>
        </w:rPr>
        <w:t xml:space="preserve"> o Bq·kg</w:t>
      </w:r>
      <w:r w:rsidRPr="008717BB">
        <w:rPr>
          <w:rFonts w:ascii="Arial" w:hAnsi="Arial" w:cs="Arial"/>
          <w:sz w:val="22"/>
          <w:vertAlign w:val="superscript"/>
          <w:lang w:val="es-ES"/>
        </w:rPr>
        <w:t>-</w:t>
      </w:r>
      <w:r>
        <w:rPr>
          <w:rFonts w:ascii="Arial" w:hAnsi="Arial" w:cs="Arial"/>
          <w:sz w:val="22"/>
          <w:vertAlign w:val="superscript"/>
          <w:lang w:val="es-ES"/>
        </w:rPr>
        <w:t>1</w:t>
      </w:r>
      <w:r>
        <w:rPr>
          <w:rFonts w:ascii="Arial" w:hAnsi="Arial" w:cs="Arial"/>
          <w:sz w:val="22"/>
          <w:lang w:val="es-ES"/>
        </w:rPr>
        <w:t xml:space="preserve">, para un nivel de confianza del 95% </w:t>
      </w:r>
      <w:r>
        <w:rPr>
          <w:rFonts w:ascii="Arial" w:hAnsi="Arial" w:cs="Arial"/>
          <w:sz w:val="22"/>
        </w:rPr>
        <w:t>(k=2),</w:t>
      </w:r>
      <w:r>
        <w:rPr>
          <w:rFonts w:ascii="Arial" w:hAnsi="Arial" w:cs="Arial"/>
          <w:sz w:val="22"/>
          <w:lang w:val="es-ES"/>
        </w:rPr>
        <w:t xml:space="preserve"> se obtiene aplicando el criterio de </w:t>
      </w:r>
      <w:proofErr w:type="spellStart"/>
      <w:r>
        <w:rPr>
          <w:rFonts w:ascii="Arial" w:hAnsi="Arial" w:cs="Arial"/>
          <w:sz w:val="22"/>
          <w:lang w:val="es-ES"/>
        </w:rPr>
        <w:t>Currie</w:t>
      </w:r>
      <w:proofErr w:type="spellEnd"/>
      <w:r>
        <w:rPr>
          <w:rFonts w:ascii="Arial" w:hAnsi="Arial" w:cs="Arial"/>
          <w:sz w:val="22"/>
          <w:lang w:val="es-ES"/>
        </w:rPr>
        <w:t>, lo cual conduce a la siguiente fórmula:</w:t>
      </w:r>
    </w:p>
    <w:p w14:paraId="05087B8F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3178C8C9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01BB8477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lang w:val="es-ES"/>
        </w:rPr>
      </w:pPr>
      <m:oMathPara>
        <m:oMath>
          <m:r>
            <w:rPr>
              <w:rFonts w:ascii="Cambria Math" w:hAnsi="Cambria Math" w:cs="Arial"/>
            </w:rPr>
            <m:t>AMD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3.29*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mbria Math"/>
                      <w:sz w:val="22"/>
                      <w:szCs w:val="22"/>
                      <w:lang w:val="es-E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cpmbβ*</m:t>
                  </m:r>
                  <m:d>
                    <m:dPr>
                      <m:ctrlPr>
                        <w:rPr>
                          <w:rFonts w:ascii="Cambria Math" w:eastAsia="Calibri" w:hAnsi="Cambria Math" w:cs="Cambria Math"/>
                          <w:sz w:val="22"/>
                          <w:szCs w:val="22"/>
                          <w:lang w:val="es-ES"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mbria Math"/>
                              <w:sz w:val="22"/>
                              <w:szCs w:val="22"/>
                              <w:lang w:val="es-ES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t(m)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Cambria Math"/>
                              <w:sz w:val="22"/>
                              <w:szCs w:val="22"/>
                              <w:lang w:val="es-ES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t(b)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Cambria Math"/>
                          <w:sz w:val="22"/>
                          <w:szCs w:val="22"/>
                          <w:lang w:val="es-ES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libri" w:hAnsi="Cambria Math" w:cs="Cambria Math"/>
                          <w:sz w:val="22"/>
                          <w:szCs w:val="22"/>
                          <w:lang w:val="es-ES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cpmα-cpmbα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t(m)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 w:cs="Cambria Math"/>
                </w:rPr>
                <m:t>+2.7*</m:t>
              </m:r>
              <m:d>
                <m:dPr>
                  <m:ctrlPr>
                    <w:rPr>
                      <w:rFonts w:ascii="Cambria Math" w:eastAsia="Calibri" w:hAnsi="Cambria Math" w:cs="Cambria Math"/>
                      <w:sz w:val="22"/>
                      <w:szCs w:val="22"/>
                      <w:lang w:val="es-E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mbria Math"/>
                          <w:sz w:val="22"/>
                          <w:szCs w:val="22"/>
                          <w:lang w:val="es-ES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t(m)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Cambria Math"/>
                          <w:sz w:val="22"/>
                          <w:szCs w:val="22"/>
                          <w:lang w:val="es-ES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t(b)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60*E*F*V</m:t>
              </m:r>
            </m:den>
          </m:f>
        </m:oMath>
      </m:oMathPara>
    </w:p>
    <w:p w14:paraId="11D57A9D" w14:textId="77777777" w:rsidR="00086D8F" w:rsidRDefault="00086D8F" w:rsidP="00086D8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45CD810D" w14:textId="77777777" w:rsidR="00086D8F" w:rsidRDefault="00086D8F" w:rsidP="00086D8F">
      <w:pPr>
        <w:pStyle w:val="Encabezado"/>
        <w:tabs>
          <w:tab w:val="clear" w:pos="4819"/>
          <w:tab w:val="clear" w:pos="907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lang w:val="es-ES"/>
        </w:rPr>
      </w:pPr>
    </w:p>
    <w:p w14:paraId="77DC9A0C" w14:textId="77777777" w:rsidR="00086D8F" w:rsidRDefault="00086D8F" w:rsidP="00086D8F">
      <w:pPr>
        <w:pStyle w:val="Encabezado"/>
        <w:tabs>
          <w:tab w:val="clear" w:pos="4819"/>
          <w:tab w:val="clear" w:pos="907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donde</w:t>
      </w:r>
    </w:p>
    <w:p w14:paraId="650EC5C1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 xml:space="preserve"> β son las cuentas beta por minuto del blanco en el voltaje beta (1600V),</w:t>
      </w:r>
    </w:p>
    <w:p w14:paraId="02C55FA6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</w:t>
      </w:r>
      <w:proofErr w:type="spellEnd"/>
      <w:r>
        <w:rPr>
          <w:rFonts w:ascii="Arial" w:hAnsi="Arial" w:cs="Arial"/>
          <w:sz w:val="22"/>
        </w:rPr>
        <w:t xml:space="preserve"> α son las cuentas alfa por minuto de la muestra en el voltaje alfa </w:t>
      </w:r>
      <w:r>
        <w:rPr>
          <w:rFonts w:ascii="Arial" w:hAnsi="Arial" w:cs="Arial"/>
          <w:sz w:val="22"/>
          <w:szCs w:val="22"/>
        </w:rPr>
        <w:t>(1100V)</w:t>
      </w:r>
      <w:r w:rsidRPr="00C12D80">
        <w:rPr>
          <w:rFonts w:ascii="Arial" w:hAnsi="Arial" w:cs="Arial"/>
          <w:sz w:val="22"/>
          <w:szCs w:val="22"/>
        </w:rPr>
        <w:t>,</w:t>
      </w:r>
    </w:p>
    <w:p w14:paraId="68F3114F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 xml:space="preserve"> α</w:t>
      </w:r>
      <w:r>
        <w:rPr>
          <w:rFonts w:ascii="Arial" w:hAnsi="Arial" w:cs="Arial"/>
          <w:sz w:val="22"/>
          <w:vertAlign w:val="subscript"/>
        </w:rPr>
        <w:t xml:space="preserve"> </w:t>
      </w:r>
      <w:r>
        <w:rPr>
          <w:rFonts w:ascii="Arial" w:hAnsi="Arial" w:cs="Arial"/>
          <w:sz w:val="22"/>
        </w:rPr>
        <w:t xml:space="preserve">son las cuentas alfa por minuto del blanco en el voltaje alfa </w:t>
      </w:r>
      <w:r>
        <w:rPr>
          <w:rFonts w:ascii="Arial" w:hAnsi="Arial" w:cs="Arial"/>
          <w:sz w:val="22"/>
          <w:szCs w:val="22"/>
        </w:rPr>
        <w:t>(1100V),</w:t>
      </w:r>
    </w:p>
    <w:p w14:paraId="4FEBF1C5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t(m) es el tiempo de medida de la muestra, en minutos,</w:t>
      </w:r>
    </w:p>
    <w:p w14:paraId="29A6FCE4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t(b) es el tiempo de medida del blanco, en minutos,</w:t>
      </w:r>
    </w:p>
    <w:p w14:paraId="06408701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 es la eficiencia del recuento, en tanto por uno,</w:t>
      </w:r>
    </w:p>
    <w:p w14:paraId="7487F279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 es el factor de </w:t>
      </w:r>
      <w:proofErr w:type="spellStart"/>
      <w:r>
        <w:rPr>
          <w:rFonts w:ascii="Arial" w:hAnsi="Arial" w:cs="Arial"/>
          <w:sz w:val="22"/>
        </w:rPr>
        <w:t>autoabsorción</w:t>
      </w:r>
      <w:proofErr w:type="spellEnd"/>
      <w:r>
        <w:rPr>
          <w:rFonts w:ascii="Arial" w:hAnsi="Arial" w:cs="Arial"/>
          <w:sz w:val="22"/>
        </w:rPr>
        <w:t xml:space="preserve"> correspondiente al espesor másico de la muestra,</w:t>
      </w:r>
    </w:p>
    <w:p w14:paraId="1E6E063E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 es el volumen o masa de muestra, en m</w:t>
      </w:r>
      <w:r>
        <w:rPr>
          <w:rFonts w:ascii="Arial" w:hAnsi="Arial" w:cs="Arial"/>
          <w:sz w:val="22"/>
          <w:vertAlign w:val="superscript"/>
        </w:rPr>
        <w:t>3</w:t>
      </w:r>
      <w:r>
        <w:rPr>
          <w:rFonts w:ascii="Arial" w:hAnsi="Arial" w:cs="Arial"/>
          <w:sz w:val="22"/>
        </w:rPr>
        <w:t xml:space="preserve"> o kg</w:t>
      </w:r>
    </w:p>
    <w:p w14:paraId="7DF23CC8" w14:textId="77777777" w:rsidR="00086D8F" w:rsidRDefault="00086D8F" w:rsidP="00086D8F">
      <w:p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sym w:font="Symbol" w:char="F067"/>
      </w:r>
      <w:r>
        <w:rPr>
          <w:rFonts w:ascii="Arial" w:hAnsi="Arial" w:cs="Arial"/>
          <w:sz w:val="22"/>
          <w:lang w:val="es-ES"/>
        </w:rPr>
        <w:t xml:space="preserve"> es el </w:t>
      </w:r>
      <w:proofErr w:type="spellStart"/>
      <w:r>
        <w:rPr>
          <w:rFonts w:ascii="Arial" w:hAnsi="Arial" w:cs="Arial"/>
          <w:i/>
          <w:sz w:val="22"/>
          <w:lang w:val="es-ES"/>
        </w:rPr>
        <w:t>spill-over</w:t>
      </w:r>
      <w:proofErr w:type="spellEnd"/>
      <w:r>
        <w:rPr>
          <w:rFonts w:ascii="Arial" w:hAnsi="Arial" w:cs="Arial"/>
          <w:sz w:val="22"/>
          <w:lang w:val="es-ES"/>
        </w:rPr>
        <w:t xml:space="preserve"> de la medida beta.</w:t>
      </w:r>
    </w:p>
    <w:p w14:paraId="69D92F10" w14:textId="77777777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  <w:lang w:val="es-ES"/>
        </w:rPr>
      </w:pPr>
    </w:p>
    <w:p w14:paraId="3CE5A16B" w14:textId="361185C3" w:rsidR="009A0A30" w:rsidRPr="00316B43" w:rsidRDefault="009A0A30" w:rsidP="00086D8F">
      <w:pPr>
        <w:spacing w:line="360" w:lineRule="auto"/>
        <w:jc w:val="both"/>
        <w:rPr>
          <w:rFonts w:ascii="Arial" w:hAnsi="Arial" w:cs="Arial"/>
          <w:b/>
          <w:bCs/>
          <w:sz w:val="22"/>
        </w:rPr>
      </w:pPr>
      <w:r w:rsidRPr="00316B43">
        <w:rPr>
          <w:rFonts w:ascii="Arial" w:hAnsi="Arial" w:cs="Arial"/>
          <w:b/>
          <w:bCs/>
          <w:sz w:val="22"/>
          <w:highlight w:val="yellow"/>
        </w:rPr>
        <w:t>Valores de los parámetros del detector 2, utilizado para el TFG.</w:t>
      </w:r>
    </w:p>
    <w:p w14:paraId="53563B2E" w14:textId="77777777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</w:p>
    <w:p w14:paraId="7CAE4CED" w14:textId="7DB746F5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sym w:font="Symbol" w:char="F061"/>
      </w:r>
      <w:r>
        <w:rPr>
          <w:rFonts w:ascii="Arial" w:hAnsi="Arial" w:cs="Arial"/>
          <w:sz w:val="22"/>
        </w:rPr>
        <w:t xml:space="preserve"> = 0.053 </w:t>
      </w:r>
      <w:r>
        <w:rPr>
          <w:rFonts w:ascii="Arial" w:hAnsi="Arial" w:cs="Arial"/>
          <w:sz w:val="22"/>
        </w:rPr>
        <w:sym w:font="Mathematica1" w:char="F0B1"/>
      </w:r>
      <w:r>
        <w:rPr>
          <w:rFonts w:ascii="Arial" w:hAnsi="Arial" w:cs="Arial"/>
          <w:sz w:val="22"/>
        </w:rPr>
        <w:t xml:space="preserve"> 0.007 </w:t>
      </w:r>
      <w:proofErr w:type="spellStart"/>
      <w:r>
        <w:rPr>
          <w:rFonts w:ascii="Arial" w:hAnsi="Arial" w:cs="Arial"/>
          <w:sz w:val="22"/>
        </w:rPr>
        <w:t>cpm</w:t>
      </w:r>
      <w:proofErr w:type="spellEnd"/>
    </w:p>
    <w:p w14:paraId="175B9C9D" w14:textId="67115D50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 xml:space="preserve">β = 0.81 </w:t>
      </w:r>
      <w:r>
        <w:rPr>
          <w:rFonts w:ascii="Arial" w:hAnsi="Arial" w:cs="Arial"/>
          <w:sz w:val="22"/>
        </w:rPr>
        <w:sym w:font="Mathematica1" w:char="F0B1"/>
      </w:r>
      <w:r>
        <w:rPr>
          <w:rFonts w:ascii="Arial" w:hAnsi="Arial" w:cs="Arial"/>
          <w:sz w:val="22"/>
        </w:rPr>
        <w:t xml:space="preserve"> 0.03 </w:t>
      </w:r>
      <w:proofErr w:type="spellStart"/>
      <w:r>
        <w:rPr>
          <w:rFonts w:ascii="Arial" w:hAnsi="Arial" w:cs="Arial"/>
          <w:sz w:val="22"/>
        </w:rPr>
        <w:t>cpm</w:t>
      </w:r>
      <w:proofErr w:type="spellEnd"/>
    </w:p>
    <w:p w14:paraId="48F5BC88" w14:textId="3D107886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sym w:font="Symbol" w:char="F067"/>
      </w:r>
      <w:r>
        <w:rPr>
          <w:rFonts w:ascii="Arial" w:hAnsi="Arial" w:cs="Arial"/>
          <w:sz w:val="22"/>
        </w:rPr>
        <w:t xml:space="preserve"> = 0.2600 </w:t>
      </w:r>
      <w:r>
        <w:rPr>
          <w:rFonts w:ascii="Arial" w:hAnsi="Arial" w:cs="Arial"/>
          <w:sz w:val="22"/>
        </w:rPr>
        <w:sym w:font="Mathematica1" w:char="F0B1"/>
      </w:r>
      <w:r>
        <w:rPr>
          <w:rFonts w:ascii="Arial" w:hAnsi="Arial" w:cs="Arial"/>
          <w:sz w:val="22"/>
        </w:rPr>
        <w:t xml:space="preserve"> 0.0004 </w:t>
      </w: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>β</w:t>
      </w:r>
      <w:r>
        <w:rPr>
          <w:rFonts w:ascii="Arial" w:hAnsi="Arial" w:cs="Arial"/>
          <w:sz w:val="22"/>
        </w:rPr>
        <w:t>/</w:t>
      </w:r>
      <w:r w:rsidRPr="009A0A30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sym w:font="Symbol" w:char="F061"/>
      </w:r>
    </w:p>
    <w:p w14:paraId="7856B780" w14:textId="6AB80532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 = 0.460 </w:t>
      </w:r>
      <w:r>
        <w:rPr>
          <w:rFonts w:ascii="Arial" w:hAnsi="Arial" w:cs="Arial"/>
          <w:sz w:val="22"/>
        </w:rPr>
        <w:sym w:font="Mathematica1" w:char="F0B1"/>
      </w:r>
      <w:r>
        <w:rPr>
          <w:rFonts w:ascii="Arial" w:hAnsi="Arial" w:cs="Arial"/>
          <w:sz w:val="22"/>
        </w:rPr>
        <w:t xml:space="preserve"> 0.008 </w:t>
      </w:r>
      <w:proofErr w:type="spellStart"/>
      <w:r>
        <w:rPr>
          <w:rFonts w:ascii="Arial" w:hAnsi="Arial" w:cs="Arial"/>
          <w:sz w:val="22"/>
        </w:rPr>
        <w:t>cpmb</w:t>
      </w:r>
      <w:proofErr w:type="spellEnd"/>
      <w:r>
        <w:rPr>
          <w:rFonts w:ascii="Arial" w:hAnsi="Arial" w:cs="Arial"/>
          <w:sz w:val="22"/>
        </w:rPr>
        <w:t>β</w:t>
      </w:r>
      <w:r>
        <w:rPr>
          <w:rFonts w:ascii="Arial" w:hAnsi="Arial" w:cs="Arial"/>
          <w:sz w:val="22"/>
        </w:rPr>
        <w:t>/</w:t>
      </w:r>
      <w:r w:rsidRPr="009A0A30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</w:t>
      </w:r>
      <w:r>
        <w:rPr>
          <w:rFonts w:ascii="Arial" w:hAnsi="Arial" w:cs="Arial"/>
          <w:sz w:val="22"/>
        </w:rPr>
        <w:t>pmb</w:t>
      </w:r>
      <w:proofErr w:type="spellEnd"/>
      <w:r>
        <w:rPr>
          <w:rFonts w:ascii="Arial" w:hAnsi="Arial" w:cs="Arial"/>
          <w:sz w:val="22"/>
        </w:rPr>
        <w:t>β</w:t>
      </w:r>
    </w:p>
    <w:p w14:paraId="5CA463DF" w14:textId="7B1BFFD6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 = 0.448 – 0.006*x</w:t>
      </w:r>
    </w:p>
    <w:p w14:paraId="41B329E2" w14:textId="60321FA9" w:rsidR="009A0A30" w:rsidRDefault="009A0A30" w:rsidP="00086D8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x: espesor másico (mg/cm</w:t>
      </w:r>
      <w:r w:rsidRPr="009A0A30"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). Es específico para cada muestra.</w:t>
      </w:r>
    </w:p>
    <w:sectPr w:rsidR="009A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CDE63" w14:textId="77777777" w:rsidR="001061EB" w:rsidRDefault="001061EB" w:rsidP="00086D8F">
      <w:r>
        <w:separator/>
      </w:r>
    </w:p>
  </w:endnote>
  <w:endnote w:type="continuationSeparator" w:id="0">
    <w:p w14:paraId="4234C77F" w14:textId="77777777" w:rsidR="001061EB" w:rsidRDefault="001061EB" w:rsidP="00086D8F">
      <w:r>
        <w:continuationSeparator/>
      </w:r>
    </w:p>
  </w:endnote>
  <w:endnote w:id="1">
    <w:p w14:paraId="0C078123" w14:textId="77777777" w:rsidR="00086D8F" w:rsidRPr="00056C9E" w:rsidRDefault="00086D8F" w:rsidP="00086D8F">
      <w:pPr>
        <w:pStyle w:val="Textonotaalfinal"/>
        <w:ind w:right="424"/>
        <w:rPr>
          <w:rFonts w:cs="Arial"/>
          <w:szCs w:val="22"/>
        </w:rPr>
      </w:pPr>
    </w:p>
  </w:endnote>
  <w:endnote w:id="2">
    <w:p w14:paraId="57A32595" w14:textId="77777777" w:rsidR="00086D8F" w:rsidRPr="00F05163" w:rsidRDefault="00086D8F" w:rsidP="00086D8F">
      <w:pPr>
        <w:pStyle w:val="Textonotaalfinal"/>
        <w:tabs>
          <w:tab w:val="left" w:pos="0"/>
        </w:tabs>
        <w:ind w:right="424"/>
        <w:rPr>
          <w:rFonts w:cs="Arial"/>
          <w:szCs w:val="2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849F8" w14:textId="77777777" w:rsidR="001061EB" w:rsidRDefault="001061EB" w:rsidP="00086D8F">
      <w:r>
        <w:separator/>
      </w:r>
    </w:p>
  </w:footnote>
  <w:footnote w:type="continuationSeparator" w:id="0">
    <w:p w14:paraId="49CD0B88" w14:textId="77777777" w:rsidR="001061EB" w:rsidRDefault="001061EB" w:rsidP="0008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B27"/>
    <w:multiLevelType w:val="hybridMultilevel"/>
    <w:tmpl w:val="171035AA"/>
    <w:lvl w:ilvl="0" w:tplc="5A643D2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54395"/>
    <w:multiLevelType w:val="hybridMultilevel"/>
    <w:tmpl w:val="2A1498E4"/>
    <w:lvl w:ilvl="0" w:tplc="EAD211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B588A"/>
    <w:multiLevelType w:val="singleLevel"/>
    <w:tmpl w:val="0C0A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FB31874"/>
    <w:multiLevelType w:val="hybridMultilevel"/>
    <w:tmpl w:val="04B606F2"/>
    <w:lvl w:ilvl="0" w:tplc="D3B0B6A0">
      <w:start w:val="2"/>
      <w:numFmt w:val="decimal"/>
      <w:lvlText w:val="2.%1"/>
      <w:lvlJc w:val="left"/>
      <w:pPr>
        <w:ind w:left="720" w:hanging="360"/>
      </w:pPr>
      <w:rPr>
        <w:rFonts w:ascii="Arial" w:hAnsi="Arial" w:hint="default"/>
        <w:b w:val="0"/>
        <w:i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C5A39"/>
    <w:multiLevelType w:val="hybridMultilevel"/>
    <w:tmpl w:val="AEB61D96"/>
    <w:lvl w:ilvl="0" w:tplc="5A643D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03A41"/>
    <w:multiLevelType w:val="hybridMultilevel"/>
    <w:tmpl w:val="32D22B40"/>
    <w:lvl w:ilvl="0" w:tplc="507E7DCA">
      <w:start w:val="1"/>
      <w:numFmt w:val="decimal"/>
      <w:lvlText w:val="2.2.%1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906228">
    <w:abstractNumId w:val="2"/>
  </w:num>
  <w:num w:numId="2" w16cid:durableId="473452507">
    <w:abstractNumId w:val="4"/>
  </w:num>
  <w:num w:numId="3" w16cid:durableId="2037609672">
    <w:abstractNumId w:val="3"/>
  </w:num>
  <w:num w:numId="4" w16cid:durableId="1046368539">
    <w:abstractNumId w:val="5"/>
  </w:num>
  <w:num w:numId="5" w16cid:durableId="1557084945">
    <w:abstractNumId w:val="1"/>
  </w:num>
  <w:num w:numId="6" w16cid:durableId="121932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F"/>
    <w:rsid w:val="00086D8F"/>
    <w:rsid w:val="001061EB"/>
    <w:rsid w:val="00316B43"/>
    <w:rsid w:val="003C55DF"/>
    <w:rsid w:val="0060473D"/>
    <w:rsid w:val="00615A25"/>
    <w:rsid w:val="009A0A30"/>
    <w:rsid w:val="00D3004A"/>
    <w:rsid w:val="00F073BE"/>
    <w:rsid w:val="00F6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DE11"/>
  <w15:chartTrackingRefBased/>
  <w15:docId w15:val="{A4AFA309-7F09-4DED-97F4-0DE46698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8F"/>
    <w:pPr>
      <w:spacing w:after="0" w:line="240" w:lineRule="auto"/>
    </w:pPr>
    <w:rPr>
      <w:rFonts w:ascii="Times" w:eastAsia="Times New Roman" w:hAnsi="Times" w:cs="Times New Roman"/>
      <w:kern w:val="0"/>
      <w:sz w:val="24"/>
      <w:szCs w:val="20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8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08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D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D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D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086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D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D8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D8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D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D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D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D8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D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D8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D8F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semiHidden/>
    <w:rsid w:val="00086D8F"/>
    <w:pPr>
      <w:tabs>
        <w:tab w:val="center" w:pos="4819"/>
        <w:tab w:val="right" w:pos="9071"/>
      </w:tabs>
      <w:jc w:val="both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086D8F"/>
    <w:rPr>
      <w:rFonts w:ascii="Times" w:eastAsia="Times New Roman" w:hAnsi="Times" w:cs="Times New Roman"/>
      <w:kern w:val="0"/>
      <w:sz w:val="24"/>
      <w:szCs w:val="20"/>
      <w:lang w:val="en-US" w:eastAsia="es-ES"/>
      <w14:ligatures w14:val="none"/>
    </w:rPr>
  </w:style>
  <w:style w:type="paragraph" w:styleId="Textoindependiente">
    <w:name w:val="Body Text"/>
    <w:basedOn w:val="Normal"/>
    <w:link w:val="TextoindependienteCar"/>
    <w:semiHidden/>
    <w:rsid w:val="00086D8F"/>
    <w:pPr>
      <w:tabs>
        <w:tab w:val="left" w:pos="567"/>
      </w:tabs>
      <w:spacing w:line="360" w:lineRule="auto"/>
      <w:jc w:val="both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86D8F"/>
    <w:rPr>
      <w:rFonts w:ascii="Times" w:eastAsia="Times New Roman" w:hAnsi="Times" w:cs="Times New Roman"/>
      <w:kern w:val="0"/>
      <w:sz w:val="24"/>
      <w:szCs w:val="20"/>
      <w:lang w:val="es-ES" w:eastAsia="es-ES"/>
      <w14:ligatures w14:val="non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86D8F"/>
    <w:pPr>
      <w:jc w:val="both"/>
    </w:pPr>
    <w:rPr>
      <w:rFonts w:ascii="Arial" w:hAnsi="Arial"/>
      <w:sz w:val="2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86D8F"/>
    <w:rPr>
      <w:rFonts w:ascii="Arial" w:eastAsia="Times New Roman" w:hAnsi="Arial" w:cs="Times New Roman"/>
      <w:kern w:val="0"/>
      <w:szCs w:val="20"/>
      <w:lang w:val="es-ES_tradnl" w:eastAsia="es-ES"/>
      <w14:ligatures w14:val="none"/>
    </w:rPr>
  </w:style>
  <w:style w:type="character" w:styleId="Refdenotaalfinal">
    <w:name w:val="endnote reference"/>
    <w:basedOn w:val="Fuentedeprrafopredeter"/>
    <w:uiPriority w:val="99"/>
    <w:unhideWhenUsed/>
    <w:rsid w:val="00086D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Borrás López</dc:creator>
  <cp:keywords/>
  <dc:description/>
  <cp:lastModifiedBy>Antonio Borrás López</cp:lastModifiedBy>
  <cp:revision>3</cp:revision>
  <dcterms:created xsi:type="dcterms:W3CDTF">2025-05-14T07:20:00Z</dcterms:created>
  <dcterms:modified xsi:type="dcterms:W3CDTF">2025-05-14T16:05:00Z</dcterms:modified>
</cp:coreProperties>
</file>