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Segoe UI" w:hAnsi="Segoe UI"/>
          <w:b/>
          <w:color w:val="3182CE"/>
          <w:sz w:val="24"/>
        </w:rPr>
        <w:t>PROPUESTA COMERCIAL Y ECONÓMICA</w:t>
        <w:br/>
      </w:r>
      <w:r>
        <w:rPr>
          <w:rFonts w:ascii="Segoe UI" w:hAnsi="Segoe UI"/>
          <w:b/>
          <w:color w:val="1A202C"/>
          <w:sz w:val="48"/>
        </w:rPr>
        <w:t>Plataforma BPM Enterprise</w:t>
      </w:r>
    </w:p>
    <w:p>
      <w:r>
        <w:rPr>
          <w:i/>
          <w:color w:val="718096"/>
          <w:sz w:val="19"/>
        </w:rPr>
        <w:t>Fecha: 31 de Julio de 2026  |  Solución: Spring Boot 3 + Flowable BPMN 2.0 + Angular 17</w:t>
      </w:r>
    </w:p>
    <w:p/>
    <w:p>
      <w:pPr>
        <w:pStyle w:val="Heading1"/>
      </w:pPr>
      <w:r>
        <w:t>1. Resumen Ejecutivo y Alcance General</w:t>
      </w:r>
    </w:p>
    <w:p>
      <w:r>
        <w:t>La Plataforma BPM (Business Process Management) es una solución empresarial integral diseñada para la automatización, orquestación y optimización de procesos de negocio complejos. Construida sobre una arquitectura moderna y escalable (Java Spring Boot, motor Flowable BPMN 2.0/DMN y portal frontend en Angular), permite a las organizaciones digitalizar sus operaciones con agilidad, control de SLA, auditoría en tiempo real e integración multicanal.</w:t>
      </w:r>
    </w:p>
    <w:p>
      <w:pPr>
        <w:pStyle w:val="Heading2"/>
      </w:pPr>
      <w:r>
        <w:t>Componentes Clave Incluidos en Todas las Modalidades:</w:t>
      </w:r>
    </w:p>
    <w:p>
      <w:pPr>
        <w:pStyle w:val="ListBullet"/>
      </w:pPr>
      <w:r>
        <w:t>Motor de Procesos y Reglas: Interpretación estándar BPMN 2.0 y ejecución de reglas DMN.</w:t>
      </w:r>
    </w:p>
    <w:p>
      <w:pPr>
        <w:pStyle w:val="ListBullet"/>
      </w:pPr>
      <w:r>
        <w:t>Portal de Gestión y Formularios: Interfaz web intuitiva para usuarios finales, supervisores y administradores.</w:t>
      </w:r>
    </w:p>
    <w:p>
      <w:pPr>
        <w:pStyle w:val="ListBullet"/>
      </w:pPr>
      <w:r>
        <w:t>Motor de Reglas y Asignación Dinámica: Reglas personalizables para asignación de tareas por perfil, carga o disponibilidad.</w:t>
      </w:r>
    </w:p>
    <w:p>
      <w:pPr>
        <w:pStyle w:val="ListBullet"/>
      </w:pPr>
      <w:r>
        <w:t>Control de SLAs y Notificaciones: Semáforos de cumplimiento, escalamiento automático y alertas.</w:t>
      </w:r>
    </w:p>
    <w:p>
      <w:pPr>
        <w:pStyle w:val="ListBullet"/>
      </w:pPr>
      <w:r>
        <w:t>Módulo de Gestión de Turnos (Turnero digital integrado).</w:t>
      </w:r>
    </w:p>
    <w:p>
      <w:pPr>
        <w:pStyle w:val="ListBullet"/>
      </w:pPr>
      <w:r>
        <w:t>Motor de Campañas y Mensajería (Integración multicanal WhatsApp / SMS / Email).</w:t>
      </w:r>
    </w:p>
    <w:p>
      <w:pPr>
        <w:pStyle w:val="ListBullet"/>
      </w:pPr>
      <w:r>
        <w:t>Módulo de Manejo de Errores y Logs de Procesos en tiempo real.</w:t>
      </w:r>
    </w:p>
    <w:p>
      <w:pPr>
        <w:pStyle w:val="ListBullet"/>
      </w:pPr>
      <w:r>
        <w:t>Consola de Consultas Dinámicas y Exportación de Datos.</w:t>
      </w:r>
    </w:p>
    <w:p/>
    <w:p>
      <w:pPr>
        <w:pStyle w:val="Heading1"/>
      </w:pPr>
      <w:r>
        <w:t>2. Servicio Base Incluido (Común a las 3 Modalidades)</w:t>
      </w:r>
    </w:p>
    <w:p>
      <w:r>
        <w:t>Todas las modalidades propuestas incluyen el Servicio Estándar de Implementación Inicial y Acompañamiento del Primer Flujo, compuesto por:</w:t>
      </w:r>
    </w:p>
    <w:p>
      <w:r>
        <w:rPr>
          <w:b/>
          <w:color w:val="2B6CB0"/>
        </w:rPr>
        <w:t>1. Instalación y Configuración del Ambiente:</w:t>
      </w:r>
      <w:r>
        <w:t xml:space="preserve"> Despliegue de la plataforma backend, base de datos PostgreSQL y portal Angular.</w:t>
      </w:r>
    </w:p>
    <w:p>
      <w:r>
        <w:rPr>
          <w:b/>
          <w:color w:val="2B6CB0"/>
        </w:rPr>
        <w:t>2. Levantamiento y Modelado del Primer Flujo:</w:t>
      </w:r>
      <w:r>
        <w:t xml:space="preserve"> Análisis de requisitos, diagramación BPMN 2.0, formulación de variables, permisos y tiempos de SLA.</w:t>
      </w:r>
    </w:p>
    <w:p>
      <w:r>
        <w:rPr>
          <w:b/>
          <w:color w:val="2B6CB0"/>
        </w:rPr>
        <w:t>3. Capacitación y Transferencia Tecnológica:</w:t>
      </w:r>
      <w:r>
        <w:t xml:space="preserve"> Taller de administración del sistema (4 hrs) y taller para usuarios finales (2 hrs).</w:t>
      </w:r>
    </w:p>
    <w:p>
      <w:r>
        <w:rPr>
          <w:b/>
          <w:color w:val="2B6CB0"/>
        </w:rPr>
        <w:t>4. Pruebas y Acompañamiento en Producción:</w:t>
      </w:r>
      <w:r>
        <w:t xml:space="preserve"> Co-piloto de 2 semanas durante la puesta en marcha del primer flujo de negocio.</w:t>
      </w:r>
    </w:p>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Pr>
          <w:p>
            <w:r>
              <w:rPr>
                <w:b/>
                <w:color w:val="2B6CB0"/>
                <w:sz w:val="19"/>
              </w:rPr>
              <w:t>NOTA SOBRE PRECIOS DE REFERENCIA:</w:t>
              <w:br/>
            </w:r>
            <w:r>
              <w:rPr>
                <w:sz w:val="19"/>
              </w:rPr>
              <w:t>Los valores presentados en esta propuesta corresponden a precios de lista estándar vigentes en dólares americanos (USD). Pueden ajustarse según el volumen de usuarios o requerimientos específicos de integración del cliente.</w:t>
            </w:r>
          </w:p>
        </w:tc>
      </w:tr>
    </w:tbl>
    <w:p/>
    <w:p>
      <w:pPr>
        <w:pStyle w:val="Heading1"/>
      </w:pPr>
      <w:r>
        <w:t>3. Propuesta Económica por Modalidades (Valores Actualizados)</w:t>
      </w:r>
    </w:p>
    <w:p>
      <w:pPr>
        <w:pStyle w:val="Heading2"/>
      </w:pPr>
      <w:r>
        <w:t>MODALIDAD 1: Venta de Código Fuente + Implementación y Asesoría</w:t>
      </w:r>
    </w:p>
    <w:p>
      <w:r>
        <w:t>El cliente adquiere la propiedad del código fuente completo (repositorio Git con Backend Spring Boot, Portal Angular, scripts DDL/DML de BD y documentación). La organización obtiene independencia total para modificar, extender y desplegar el sistema sin pagar regalías ni suscripciones futuras.</w:t>
      </w:r>
    </w:p>
    <w:tbl>
      <w:tblPr>
        <w:tblW w:type="auto" w:w="0"/>
        <w:jc w:val="center"/>
        <w:tblLook w:firstColumn="1" w:firstRow="1" w:lastColumn="0" w:lastRow="0" w:noHBand="0" w:noVBand="1" w:val="04A0"/>
      </w:tblPr>
      <w:tblGrid>
        <w:gridCol w:w="3120"/>
        <w:gridCol w:w="3120"/>
        <w:gridCol w:w="3120"/>
      </w:tblGrid>
      <w:tr>
        <w:tc>
          <w:tcPr>
            <w:tcW w:type="dxa" w:w="3120"/>
            <w:shd w:fill="1A365D"/>
          </w:tcPr>
          <w:p>
            <w:r>
              <w:rPr>
                <w:b/>
                <w:color w:val="FFFFFF"/>
              </w:rPr>
              <w:t>Ítem / Concepto</w:t>
            </w:r>
          </w:p>
        </w:tc>
        <w:tc>
          <w:tcPr>
            <w:tcW w:type="dxa" w:w="3120"/>
            <w:shd w:fill="1A365D"/>
          </w:tcPr>
          <w:p>
            <w:r>
              <w:rPr>
                <w:b/>
                <w:color w:val="FFFFFF"/>
              </w:rPr>
              <w:t>Descripción del Entregable</w:t>
            </w:r>
          </w:p>
        </w:tc>
        <w:tc>
          <w:tcPr>
            <w:tcW w:type="dxa" w:w="3120"/>
            <w:shd w:fill="1A365D"/>
          </w:tcPr>
          <w:p>
            <w:r>
              <w:rPr>
                <w:b/>
                <w:color w:val="FFFFFF"/>
              </w:rPr>
              <w:t>Inversión (USD)</w:t>
            </w:r>
          </w:p>
        </w:tc>
      </w:tr>
      <w:tr>
        <w:tc>
          <w:tcPr>
            <w:tcW w:type="dxa" w:w="3120"/>
          </w:tcPr>
          <w:p>
            <w:r>
              <w:t>Código Fuente Perpetuo</w:t>
            </w:r>
          </w:p>
        </w:tc>
        <w:tc>
          <w:tcPr>
            <w:tcW w:type="dxa" w:w="3120"/>
          </w:tcPr>
          <w:p>
            <w:r>
              <w:t>Licencia de propiedad sobre el código fuente completo (Backend y Frontend)</w:t>
            </w:r>
          </w:p>
        </w:tc>
        <w:tc>
          <w:tcPr>
            <w:tcW w:type="dxa" w:w="3120"/>
          </w:tcPr>
          <w:p>
            <w:r>
              <w:rPr>
                <w:b/>
              </w:rPr>
              <w:t>$ 37,000.00</w:t>
            </w:r>
          </w:p>
        </w:tc>
      </w:tr>
      <w:tr>
        <w:tc>
          <w:tcPr>
            <w:tcW w:type="dxa" w:w="3120"/>
            <w:shd w:fill="F7FAFC"/>
          </w:tcPr>
          <w:p>
            <w:r>
              <w:t>Servicio de Implementación</w:t>
            </w:r>
          </w:p>
        </w:tc>
        <w:tc>
          <w:tcPr>
            <w:tcW w:type="dxa" w:w="3120"/>
            <w:shd w:fill="F7FAFC"/>
          </w:tcPr>
          <w:p>
            <w:r>
              <w:t>Despliegue, configuración e integración en infraestructura propia</w:t>
            </w:r>
          </w:p>
        </w:tc>
        <w:tc>
          <w:tcPr>
            <w:tcW w:type="dxa" w:w="3120"/>
            <w:shd w:fill="F7FAFC"/>
          </w:tcPr>
          <w:p>
            <w:r>
              <w:rPr>
                <w:b/>
              </w:rPr>
              <w:t>$ 7,000.00</w:t>
            </w:r>
          </w:p>
        </w:tc>
      </w:tr>
      <w:tr>
        <w:tc>
          <w:tcPr>
            <w:tcW w:type="dxa" w:w="3120"/>
          </w:tcPr>
          <w:p>
            <w:r>
              <w:t>Acompañamiento 1er Flujo</w:t>
            </w:r>
          </w:p>
        </w:tc>
        <w:tc>
          <w:tcPr>
            <w:tcW w:type="dxa" w:w="3120"/>
          </w:tcPr>
          <w:p>
            <w:r>
              <w:t>Levantamiento, diagramación BPMN, formularios, SLA y salida a producción</w:t>
            </w:r>
          </w:p>
        </w:tc>
        <w:tc>
          <w:tcPr>
            <w:tcW w:type="dxa" w:w="3120"/>
          </w:tcPr>
          <w:p>
            <w:r>
              <w:rPr>
                <w:b/>
              </w:rPr>
              <w:t>$ 6,000.00</w:t>
            </w:r>
          </w:p>
        </w:tc>
      </w:tr>
      <w:tr>
        <w:tc>
          <w:tcPr>
            <w:tcW w:type="dxa" w:w="3120"/>
            <w:shd w:fill="F7FAFC"/>
          </w:tcPr>
          <w:p>
            <w:r>
              <w:t>Capacitación Técnica</w:t>
            </w:r>
          </w:p>
        </w:tc>
        <w:tc>
          <w:tcPr>
            <w:tcW w:type="dxa" w:w="3120"/>
            <w:shd w:fill="F7FAFC"/>
          </w:tcPr>
          <w:p>
            <w:r>
              <w:t>Transferencia tecnológica y talleres para el equipo de TI</w:t>
            </w:r>
          </w:p>
        </w:tc>
        <w:tc>
          <w:tcPr>
            <w:tcW w:type="dxa" w:w="3120"/>
            <w:shd w:fill="F7FAFC"/>
          </w:tcPr>
          <w:p>
            <w:r>
              <w:rPr>
                <w:b/>
              </w:rPr>
              <w:t>Incluido</w:t>
            </w:r>
          </w:p>
        </w:tc>
      </w:tr>
      <w:tr>
        <w:tc>
          <w:tcPr>
            <w:tcW w:type="dxa" w:w="3120"/>
            <w:shd w:fill="EDF2F7"/>
          </w:tcPr>
          <w:p>
            <w:r>
              <w:rPr>
                <w:b/>
              </w:rPr>
              <w:t>TOTAL INVERSIÓN ÚNICA</w:t>
            </w:r>
          </w:p>
        </w:tc>
        <w:tc>
          <w:tcPr>
            <w:tcW w:type="dxa" w:w="3120"/>
            <w:shd w:fill="EDF2F7"/>
          </w:tcPr>
          <w:p>
            <w:r>
              <w:rPr>
                <w:b/>
              </w:rPr>
              <w:t>Pago único de contado o en 3 hitos de proyecto</w:t>
            </w:r>
          </w:p>
        </w:tc>
        <w:tc>
          <w:tcPr>
            <w:tcW w:type="dxa" w:w="3120"/>
            <w:shd w:fill="EDF2F7"/>
          </w:tcPr>
          <w:p>
            <w:r>
              <w:rPr>
                <w:b/>
                <w:color w:val="2B6CB0"/>
              </w:rPr>
              <w:t>$ 50,000.00</w:t>
            </w:r>
          </w:p>
        </w:tc>
      </w:tr>
    </w:tbl>
    <w:p/>
    <w:p>
      <w:pPr>
        <w:pStyle w:val="Heading2"/>
      </w:pPr>
      <w:r>
        <w:t>MODALIDAD 2: Alquiler en Modo SaaS (Nube Gestionada)</w:t>
      </w:r>
    </w:p>
    <w:p>
      <w:r>
        <w:t>El cliente utiliza la plataforma en formato de servicios gestionados en la nube. No requiere comprar servidores ni preocuparse por el mantenimiento de la infraestructura. Nosotros administramos el servidor, copias de seguridad, certificados SSL y disponibilidad.</w:t>
      </w:r>
    </w:p>
    <w:tbl>
      <w:tblPr>
        <w:tblW w:type="auto" w:w="0"/>
        <w:jc w:val="center"/>
        <w:tblLook w:firstColumn="1" w:firstRow="1" w:lastColumn="0" w:lastRow="0" w:noHBand="0" w:noVBand="1" w:val="04A0"/>
      </w:tblPr>
      <w:tblGrid>
        <w:gridCol w:w="3120"/>
        <w:gridCol w:w="3120"/>
        <w:gridCol w:w="3120"/>
      </w:tblGrid>
      <w:tr>
        <w:tc>
          <w:tcPr>
            <w:tcW w:type="dxa" w:w="3120"/>
            <w:shd w:fill="1A365D"/>
          </w:tcPr>
          <w:p>
            <w:r>
              <w:rPr>
                <w:b/>
                <w:color w:val="FFFFFF"/>
              </w:rPr>
              <w:t>Concepto</w:t>
            </w:r>
          </w:p>
        </w:tc>
        <w:tc>
          <w:tcPr>
            <w:tcW w:type="dxa" w:w="3120"/>
            <w:shd w:fill="1A365D"/>
          </w:tcPr>
          <w:p>
            <w:r>
              <w:rPr>
                <w:b/>
                <w:color w:val="FFFFFF"/>
              </w:rPr>
              <w:t>Detalle de Cobertura</w:t>
            </w:r>
          </w:p>
        </w:tc>
        <w:tc>
          <w:tcPr>
            <w:tcW w:type="dxa" w:w="3120"/>
            <w:shd w:fill="1A365D"/>
          </w:tcPr>
          <w:p>
            <w:r>
              <w:rPr>
                <w:b/>
                <w:color w:val="FFFFFF"/>
              </w:rPr>
              <w:t>Inversión (USD)</w:t>
            </w:r>
          </w:p>
        </w:tc>
      </w:tr>
      <w:tr>
        <w:tc>
          <w:tcPr>
            <w:tcW w:type="dxa" w:w="3120"/>
          </w:tcPr>
          <w:p>
            <w:r>
              <w:t>Fee de Onboarding e Implementación</w:t>
            </w:r>
          </w:p>
        </w:tc>
        <w:tc>
          <w:tcPr>
            <w:tcW w:type="dxa" w:w="3120"/>
          </w:tcPr>
          <w:p>
            <w:r>
              <w:t>Configuración de instancia tenant + Asesoría y puesta en marcha del 1er Flujo</w:t>
            </w:r>
          </w:p>
        </w:tc>
        <w:tc>
          <w:tcPr>
            <w:tcW w:type="dxa" w:w="3120"/>
          </w:tcPr>
          <w:p>
            <w:r>
              <w:rPr>
                <w:b/>
              </w:rPr>
              <w:t>$ 7,600.00 (Único)</w:t>
            </w:r>
          </w:p>
        </w:tc>
      </w:tr>
      <w:tr>
        <w:tc>
          <w:tcPr>
            <w:tcW w:type="dxa" w:w="3120"/>
            <w:shd w:fill="F7FAFC"/>
          </w:tcPr>
          <w:p>
            <w:r>
              <w:t>Suscripción Mensual SaaS</w:t>
            </w:r>
          </w:p>
        </w:tc>
        <w:tc>
          <w:tcPr>
            <w:tcW w:type="dxa" w:w="3120"/>
            <w:shd w:fill="F7FAFC"/>
          </w:tcPr>
          <w:p>
            <w:r>
              <w:t>Hasta 50 usuarios concurrentes + Procesos Ilimitados + Nube e Infraestructura</w:t>
            </w:r>
          </w:p>
        </w:tc>
        <w:tc>
          <w:tcPr>
            <w:tcW w:type="dxa" w:w="3120"/>
            <w:shd w:fill="F7FAFC"/>
          </w:tcPr>
          <w:p>
            <w:r>
              <w:rPr>
                <w:b/>
              </w:rPr>
              <w:t>$ 1,300.00 / mes</w:t>
            </w:r>
          </w:p>
        </w:tc>
      </w:tr>
      <w:tr>
        <w:tc>
          <w:tcPr>
            <w:tcW w:type="dxa" w:w="3120"/>
            <w:shd w:fill="EDF2F7"/>
          </w:tcPr>
          <w:p>
            <w:r>
              <w:rPr>
                <w:b/>
              </w:rPr>
              <w:t>Suscripción Anual SaaS (15% Desc.)</w:t>
            </w:r>
          </w:p>
        </w:tc>
        <w:tc>
          <w:tcPr>
            <w:tcW w:type="dxa" w:w="3120"/>
            <w:shd w:fill="EDF2F7"/>
          </w:tcPr>
          <w:p>
            <w:r>
              <w:rPr>
                <w:b/>
              </w:rPr>
              <w:t>Pago anticipado por 12 meses (Ahorro directo de $ 2,340 USD)</w:t>
            </w:r>
          </w:p>
        </w:tc>
        <w:tc>
          <w:tcPr>
            <w:tcW w:type="dxa" w:w="3120"/>
            <w:shd w:fill="EDF2F7"/>
          </w:tcPr>
          <w:p>
            <w:r>
              <w:rPr>
                <w:b/>
                <w:color w:val="2B6CB0"/>
              </w:rPr>
              <w:t>$ 13,260.00 / año</w:t>
            </w:r>
          </w:p>
        </w:tc>
      </w:tr>
    </w:tbl>
    <w:p/>
    <w:p>
      <w:pPr>
        <w:pStyle w:val="Heading2"/>
      </w:pPr>
      <w:r>
        <w:t>MODALIDAD 3: Alquiler en Infraestructura del Cliente (On-Premise)</w:t>
      </w:r>
    </w:p>
    <w:p>
      <w:r>
        <w:t>Combina la privacidad y control de mantener el sistema dentro de los servidores / nube privada del cliente (AWS, Azure, GCP o Servidores Locales) con la flexibilidad de un canon de suscripción recurrente, sin desembolsar el costo del código fuente.</w:t>
      </w:r>
    </w:p>
    <w:tbl>
      <w:tblPr>
        <w:tblW w:type="auto" w:w="0"/>
        <w:jc w:val="center"/>
        <w:tblLook w:firstColumn="1" w:firstRow="1" w:lastColumn="0" w:lastRow="0" w:noHBand="0" w:noVBand="1" w:val="04A0"/>
      </w:tblPr>
      <w:tblGrid>
        <w:gridCol w:w="3120"/>
        <w:gridCol w:w="3120"/>
        <w:gridCol w:w="3120"/>
      </w:tblGrid>
      <w:tr>
        <w:tc>
          <w:tcPr>
            <w:tcW w:type="dxa" w:w="3120"/>
            <w:shd w:fill="1A365D"/>
          </w:tcPr>
          <w:p>
            <w:r>
              <w:rPr>
                <w:b/>
                <w:color w:val="FFFFFF"/>
              </w:rPr>
              <w:t>Concepto</w:t>
            </w:r>
          </w:p>
        </w:tc>
        <w:tc>
          <w:tcPr>
            <w:tcW w:type="dxa" w:w="3120"/>
            <w:shd w:fill="1A365D"/>
          </w:tcPr>
          <w:p>
            <w:r>
              <w:rPr>
                <w:b/>
                <w:color w:val="FFFFFF"/>
              </w:rPr>
              <w:t>Detalle de Cobertura</w:t>
            </w:r>
          </w:p>
        </w:tc>
        <w:tc>
          <w:tcPr>
            <w:tcW w:type="dxa" w:w="3120"/>
            <w:shd w:fill="1A365D"/>
          </w:tcPr>
          <w:p>
            <w:r>
              <w:rPr>
                <w:b/>
                <w:color w:val="FFFFFF"/>
              </w:rPr>
              <w:t>Inversión (USD)</w:t>
            </w:r>
          </w:p>
        </w:tc>
      </w:tr>
      <w:tr>
        <w:tc>
          <w:tcPr>
            <w:tcW w:type="dxa" w:w="3120"/>
          </w:tcPr>
          <w:p>
            <w:r>
              <w:t>Fee de Instalación y 1er Flujo</w:t>
            </w:r>
          </w:p>
        </w:tc>
        <w:tc>
          <w:tcPr>
            <w:tcW w:type="dxa" w:w="3120"/>
          </w:tcPr>
          <w:p>
            <w:r>
              <w:t>Despliegue en servidores del cliente + Asesoría y puesta en producción del 1er Flujo</w:t>
            </w:r>
          </w:p>
        </w:tc>
        <w:tc>
          <w:tcPr>
            <w:tcW w:type="dxa" w:w="3120"/>
          </w:tcPr>
          <w:p>
            <w:r>
              <w:rPr>
                <w:b/>
              </w:rPr>
              <w:t>$ 8,400.00 (Único)</w:t>
            </w:r>
          </w:p>
        </w:tc>
      </w:tr>
      <w:tr>
        <w:tc>
          <w:tcPr>
            <w:tcW w:type="dxa" w:w="3120"/>
            <w:shd w:fill="F7FAFC"/>
          </w:tcPr>
          <w:p>
            <w:r>
              <w:t>Canon On-Premise Trimestral</w:t>
            </w:r>
          </w:p>
        </w:tc>
        <w:tc>
          <w:tcPr>
            <w:tcW w:type="dxa" w:w="3120"/>
            <w:shd w:fill="F7FAFC"/>
          </w:tcPr>
          <w:p>
            <w:r>
              <w:t>Licencia de uso en servidor propio + Actualizaciones + Soporte 3er nivel</w:t>
            </w:r>
          </w:p>
        </w:tc>
        <w:tc>
          <w:tcPr>
            <w:tcW w:type="dxa" w:w="3120"/>
            <w:shd w:fill="F7FAFC"/>
          </w:tcPr>
          <w:p>
            <w:r>
              <w:rPr>
                <w:b/>
              </w:rPr>
              <w:t>$ 3,000.00 / trim.</w:t>
            </w:r>
          </w:p>
        </w:tc>
      </w:tr>
      <w:tr>
        <w:tc>
          <w:tcPr>
            <w:tcW w:type="dxa" w:w="3120"/>
            <w:shd w:fill="EDF2F7"/>
          </w:tcPr>
          <w:p>
            <w:r>
              <w:rPr>
                <w:b/>
              </w:rPr>
              <w:t>Canon On-Premise Anual (Descuento)</w:t>
            </w:r>
          </w:p>
        </w:tc>
        <w:tc>
          <w:tcPr>
            <w:tcW w:type="dxa" w:w="3120"/>
            <w:shd w:fill="EDF2F7"/>
          </w:tcPr>
          <w:p>
            <w:r>
              <w:rPr>
                <w:b/>
              </w:rPr>
              <w:t>Licencia de uso en servidor propio con tarifa anual preferencial</w:t>
            </w:r>
          </w:p>
        </w:tc>
        <w:tc>
          <w:tcPr>
            <w:tcW w:type="dxa" w:w="3120"/>
            <w:shd w:fill="EDF2F7"/>
          </w:tcPr>
          <w:p>
            <w:r>
              <w:rPr>
                <w:b/>
                <w:color w:val="2B6CB0"/>
              </w:rPr>
              <w:t>$ 10,400.00 / año</w:t>
            </w:r>
          </w:p>
        </w:tc>
      </w:tr>
    </w:tbl>
    <w:p/>
    <w:p>
      <w:pPr>
        <w:pStyle w:val="Heading1"/>
      </w:pPr>
      <w:r>
        <w:t>4. Cuadro Comparativo de Modalidades</w:t>
      </w:r>
    </w:p>
    <w:tbl>
      <w:tblPr>
        <w:tblW w:type="auto" w:w="0"/>
        <w:jc w:val="center"/>
        <w:tblLook w:firstColumn="1" w:firstRow="1" w:lastColumn="0" w:lastRow="0" w:noHBand="0" w:noVBand="1" w:val="04A0"/>
      </w:tblPr>
      <w:tblGrid>
        <w:gridCol w:w="2340"/>
        <w:gridCol w:w="2340"/>
        <w:gridCol w:w="2340"/>
        <w:gridCol w:w="2340"/>
      </w:tblGrid>
      <w:tr>
        <w:tc>
          <w:tcPr>
            <w:tcW w:type="dxa" w:w="2340"/>
            <w:shd w:fill="2B6CB0"/>
          </w:tcPr>
          <w:p>
            <w:r>
              <w:rPr>
                <w:b/>
                <w:color w:val="FFFFFF"/>
              </w:rPr>
              <w:t>Criterio de Evaluación</w:t>
            </w:r>
          </w:p>
        </w:tc>
        <w:tc>
          <w:tcPr>
            <w:tcW w:type="dxa" w:w="2340"/>
            <w:shd w:fill="2B6CB0"/>
          </w:tcPr>
          <w:p>
            <w:r>
              <w:rPr>
                <w:b/>
                <w:color w:val="FFFFFF"/>
              </w:rPr>
              <w:t>Mod. 1: Venta Código</w:t>
            </w:r>
          </w:p>
        </w:tc>
        <w:tc>
          <w:tcPr>
            <w:tcW w:type="dxa" w:w="2340"/>
            <w:shd w:fill="2B6CB0"/>
          </w:tcPr>
          <w:p>
            <w:r>
              <w:rPr>
                <w:b/>
                <w:color w:val="FFFFFF"/>
              </w:rPr>
              <w:t>Mod. 2: Alquiler SaaS</w:t>
            </w:r>
          </w:p>
        </w:tc>
        <w:tc>
          <w:tcPr>
            <w:tcW w:type="dxa" w:w="2340"/>
            <w:shd w:fill="2B6CB0"/>
          </w:tcPr>
          <w:p>
            <w:r>
              <w:rPr>
                <w:b/>
                <w:color w:val="FFFFFF"/>
              </w:rPr>
              <w:t>Mod. 3: Alquiler On-Premise</w:t>
            </w:r>
          </w:p>
        </w:tc>
      </w:tr>
      <w:tr>
        <w:tc>
          <w:tcPr>
            <w:tcW w:type="dxa" w:w="2340"/>
          </w:tcPr>
          <w:p>
            <w:r>
              <w:rPr>
                <w:b/>
              </w:rPr>
              <w:t>Propiedad del Código</w:t>
            </w:r>
          </w:p>
        </w:tc>
        <w:tc>
          <w:tcPr>
            <w:tcW w:type="dxa" w:w="2340"/>
          </w:tcPr>
          <w:p>
            <w:r>
              <w:t>Sí (100% Código Fuente)</w:t>
            </w:r>
          </w:p>
        </w:tc>
        <w:tc>
          <w:tcPr>
            <w:tcW w:type="dxa" w:w="2340"/>
          </w:tcPr>
          <w:p>
            <w:r>
              <w:t>No (Derecho de Uso)</w:t>
            </w:r>
          </w:p>
        </w:tc>
        <w:tc>
          <w:tcPr>
            <w:tcW w:type="dxa" w:w="2340"/>
          </w:tcPr>
          <w:p>
            <w:r>
              <w:t>No (Derecho de Uso)</w:t>
            </w:r>
          </w:p>
        </w:tc>
      </w:tr>
      <w:tr>
        <w:tc>
          <w:tcPr>
            <w:tcW w:type="dxa" w:w="2340"/>
            <w:shd w:fill="F7FAFC"/>
          </w:tcPr>
          <w:p>
            <w:r>
              <w:rPr>
                <w:b/>
              </w:rPr>
              <w:t>Ubicación Servidores</w:t>
            </w:r>
          </w:p>
        </w:tc>
        <w:tc>
          <w:tcPr>
            <w:tcW w:type="dxa" w:w="2340"/>
            <w:shd w:fill="F7FAFC"/>
          </w:tcPr>
          <w:p>
            <w:r>
              <w:t>Servidores del Cliente</w:t>
            </w:r>
          </w:p>
        </w:tc>
        <w:tc>
          <w:tcPr>
            <w:tcW w:type="dxa" w:w="2340"/>
            <w:shd w:fill="F7FAFC"/>
          </w:tcPr>
          <w:p>
            <w:r>
              <w:t>Nube Administrada</w:t>
            </w:r>
          </w:p>
        </w:tc>
        <w:tc>
          <w:tcPr>
            <w:tcW w:type="dxa" w:w="2340"/>
            <w:shd w:fill="F7FAFC"/>
          </w:tcPr>
          <w:p>
            <w:r>
              <w:t>Servidores del Cliente</w:t>
            </w:r>
          </w:p>
        </w:tc>
      </w:tr>
      <w:tr>
        <w:tc>
          <w:tcPr>
            <w:tcW w:type="dxa" w:w="2340"/>
          </w:tcPr>
          <w:p>
            <w:r>
              <w:rPr>
                <w:b/>
              </w:rPr>
              <w:t>Inversión Inicial</w:t>
            </w:r>
          </w:p>
        </w:tc>
        <w:tc>
          <w:tcPr>
            <w:tcW w:type="dxa" w:w="2340"/>
          </w:tcPr>
          <w:p>
            <w:r>
              <w:t>$ 50,000.00 USD</w:t>
            </w:r>
          </w:p>
        </w:tc>
        <w:tc>
          <w:tcPr>
            <w:tcW w:type="dxa" w:w="2340"/>
          </w:tcPr>
          <w:p>
            <w:r>
              <w:t>$ 7,600.00 USD</w:t>
            </w:r>
          </w:p>
        </w:tc>
        <w:tc>
          <w:tcPr>
            <w:tcW w:type="dxa" w:w="2340"/>
          </w:tcPr>
          <w:p>
            <w:r>
              <w:t>$ 8,400.00 USD</w:t>
            </w:r>
          </w:p>
        </w:tc>
      </w:tr>
      <w:tr>
        <w:tc>
          <w:tcPr>
            <w:tcW w:type="dxa" w:w="2340"/>
            <w:shd w:fill="F7FAFC"/>
          </w:tcPr>
          <w:p>
            <w:r>
              <w:rPr>
                <w:b/>
              </w:rPr>
              <w:t>Costo Recurrente</w:t>
            </w:r>
          </w:p>
        </w:tc>
        <w:tc>
          <w:tcPr>
            <w:tcW w:type="dxa" w:w="2340"/>
            <w:shd w:fill="F7FAFC"/>
          </w:tcPr>
          <w:p>
            <w:r>
              <w:t>$ 0 USD (Opcional Soporte)</w:t>
            </w:r>
          </w:p>
        </w:tc>
        <w:tc>
          <w:tcPr>
            <w:tcW w:type="dxa" w:w="2340"/>
            <w:shd w:fill="F7FAFC"/>
          </w:tcPr>
          <w:p>
            <w:r>
              <w:t>$ 1,300/mes ó $ 13.2k/año</w:t>
            </w:r>
          </w:p>
        </w:tc>
        <w:tc>
          <w:tcPr>
            <w:tcW w:type="dxa" w:w="2340"/>
            <w:shd w:fill="F7FAFC"/>
          </w:tcPr>
          <w:p>
            <w:r>
              <w:t>$ 10,400.00 / año</w:t>
            </w:r>
          </w:p>
        </w:tc>
      </w:tr>
      <w:tr>
        <w:tc>
          <w:tcPr>
            <w:tcW w:type="dxa" w:w="2340"/>
          </w:tcPr>
          <w:p>
            <w:r>
              <w:rPr>
                <w:b/>
              </w:rPr>
              <w:t>Infraestructura</w:t>
            </w:r>
          </w:p>
        </w:tc>
        <w:tc>
          <w:tcPr>
            <w:tcW w:type="dxa" w:w="2340"/>
          </w:tcPr>
          <w:p>
            <w:r>
              <w:t>A cargo del Cliente</w:t>
            </w:r>
          </w:p>
        </w:tc>
        <w:tc>
          <w:tcPr>
            <w:tcW w:type="dxa" w:w="2340"/>
          </w:tcPr>
          <w:p>
            <w:r>
              <w:t>100% Incluida y Administrada</w:t>
            </w:r>
          </w:p>
        </w:tc>
        <w:tc>
          <w:tcPr>
            <w:tcW w:type="dxa" w:w="2340"/>
          </w:tcPr>
          <w:p>
            <w:r>
              <w:t>A cargo del Cliente</w:t>
            </w:r>
          </w:p>
        </w:tc>
      </w:tr>
      <w:tr>
        <w:tc>
          <w:tcPr>
            <w:tcW w:type="dxa" w:w="2340"/>
            <w:shd w:fill="F7FAFC"/>
          </w:tcPr>
          <w:p>
            <w:r>
              <w:rPr>
                <w:b/>
              </w:rPr>
              <w:t>Actualizaciones</w:t>
            </w:r>
          </w:p>
        </w:tc>
        <w:tc>
          <w:tcPr>
            <w:tcW w:type="dxa" w:w="2340"/>
            <w:shd w:fill="F7FAFC"/>
          </w:tcPr>
          <w:p>
            <w:r>
              <w:t>Manuales / Propias</w:t>
            </w:r>
          </w:p>
        </w:tc>
        <w:tc>
          <w:tcPr>
            <w:tcW w:type="dxa" w:w="2340"/>
            <w:shd w:fill="F7FAFC"/>
          </w:tcPr>
          <w:p>
            <w:r>
              <w:t>Automáticas e Incluidas</w:t>
            </w:r>
          </w:p>
        </w:tc>
        <w:tc>
          <w:tcPr>
            <w:tcW w:type="dxa" w:w="2340"/>
            <w:shd w:fill="F7FAFC"/>
          </w:tcPr>
          <w:p>
            <w:r>
              <w:t>Paquetes Incluidos</w:t>
            </w:r>
          </w:p>
        </w:tc>
      </w:tr>
      <w:tr>
        <w:tc>
          <w:tcPr>
            <w:tcW w:type="dxa" w:w="2340"/>
          </w:tcPr>
          <w:p>
            <w:r>
              <w:rPr>
                <w:b/>
              </w:rPr>
              <w:t>Tiempo de Despliegue</w:t>
            </w:r>
          </w:p>
        </w:tc>
        <w:tc>
          <w:tcPr>
            <w:tcW w:type="dxa" w:w="2340"/>
          </w:tcPr>
          <w:p>
            <w:r>
              <w:t>3 - 4 Semanas</w:t>
            </w:r>
          </w:p>
        </w:tc>
        <w:tc>
          <w:tcPr>
            <w:tcW w:type="dxa" w:w="2340"/>
          </w:tcPr>
          <w:p>
            <w:r>
              <w:t>1 - 2 Semanas</w:t>
            </w:r>
          </w:p>
        </w:tc>
        <w:tc>
          <w:tcPr>
            <w:tcW w:type="dxa" w:w="2340"/>
          </w:tcPr>
          <w:p>
            <w:r>
              <w:t>2 - 3 Semanas</w:t>
            </w:r>
          </w:p>
        </w:tc>
      </w:tr>
    </w:tbl>
    <w:p/>
    <w:p>
      <w:pPr>
        <w:pStyle w:val="Heading1"/>
      </w:pPr>
      <w:r>
        <w:t>5. Condiciones Comerciales y Hitos de Pago</w:t>
      </w:r>
    </w:p>
    <w:p>
      <w:r>
        <w:rPr>
          <w:b/>
        </w:rPr>
        <w:t>Modalidad 1 (Venta de Código Fuente):</w:t>
        <w:br/>
      </w:r>
      <w:r>
        <w:t>• 50% A la firma del contrato e inicio de instalación.</w:t>
        <w:br/>
      </w:r>
      <w:r>
        <w:t>• 30% A la entrega de la diagramación y prueba del 1er flujo en QA.</w:t>
        <w:br/>
      </w:r>
      <w:r>
        <w:t>• 20% A la entrega del código fuente completo y salida a producción.</w:t>
      </w:r>
    </w:p>
    <w:p>
      <w:r>
        <w:rPr>
          <w:b/>
        </w:rPr>
        <w:t>Modalidad 2 (SaaS) y Modalidad 3 (Alquiler On-Premise):</w:t>
        <w:br/>
      </w:r>
      <w:r>
        <w:t>• 100% del Fee de Setup / Instalación + Primer Periodo al inicio del proyecto.</w:t>
        <w:br/>
      </w:r>
      <w:r>
        <w:t>• Pagos de suscripción posteriores según la periodicidad acordada (Mensual/Anual).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