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/>
        <w:spacing w:after="200" w:lineRule="auto"/>
        <w:contextualSpacing w:val="0"/>
        <w:jc w:val="both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bookmarkStart w:colFirst="0" w:colLast="0" w:name="_3bgg1hk54vk2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Reglas de nombres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Para el desarrollo de los esquemas se seguirán estos estándares que permiten identificar cada esquema y objeto con nombres completos y descriptivos.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Generales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color w:val="333333"/>
          <w:rtl w:val="0"/>
        </w:rPr>
        <w:t xml:space="preserve">La base de datos llevará el nombre de “</w:t>
      </w:r>
      <w:r w:rsidDel="00000000" w:rsidR="00000000" w:rsidRPr="00000000">
        <w:rPr>
          <w:b w:val="1"/>
          <w:color w:val="333333"/>
          <w:rtl w:val="0"/>
        </w:rPr>
        <w:t xml:space="preserve">bd111mil</w:t>
      </w:r>
      <w:r w:rsidDel="00000000" w:rsidR="00000000" w:rsidRPr="00000000">
        <w:rPr>
          <w:color w:val="333333"/>
          <w:rtl w:val="0"/>
        </w:rPr>
        <w:t xml:space="preserve">”, al cual se le creará un usuario denominado “</w:t>
      </w:r>
      <w:r w:rsidDel="00000000" w:rsidR="00000000" w:rsidRPr="00000000">
        <w:rPr>
          <w:b w:val="1"/>
          <w:color w:val="333333"/>
          <w:rtl w:val="0"/>
        </w:rPr>
        <w:t xml:space="preserve">user111mil</w:t>
      </w:r>
      <w:r w:rsidDel="00000000" w:rsidR="00000000" w:rsidRPr="00000000">
        <w:rPr>
          <w:color w:val="333333"/>
          <w:rtl w:val="0"/>
        </w:rPr>
        <w:t xml:space="preserve">”, con password “</w:t>
      </w:r>
      <w:r w:rsidDel="00000000" w:rsidR="00000000" w:rsidRPr="00000000">
        <w:rPr>
          <w:b w:val="1"/>
          <w:color w:val="333333"/>
          <w:rtl w:val="0"/>
        </w:rPr>
        <w:t xml:space="preserve">111mil</w:t>
      </w:r>
      <w:r w:rsidDel="00000000" w:rsidR="00000000" w:rsidRPr="00000000">
        <w:rPr>
          <w:color w:val="333333"/>
          <w:rtl w:val="0"/>
        </w:rPr>
        <w:t xml:space="preserve">”. Para cada esquema se le asignará un prefijo a los objetos, </w:t>
      </w:r>
      <w:r w:rsidDel="00000000" w:rsidR="00000000" w:rsidRPr="00000000">
        <w:rPr>
          <w:color w:val="333333"/>
          <w:rtl w:val="0"/>
        </w:rPr>
        <w:t xml:space="preserve">&lt;EXX&gt; que se usará en tablas, vistas, procedimientos almacenados, </w:t>
      </w:r>
      <w:r w:rsidDel="00000000" w:rsidR="00000000" w:rsidRPr="00000000">
        <w:rPr>
          <w:color w:val="333333"/>
          <w:rtl w:val="0"/>
        </w:rPr>
        <w:t xml:space="preserve">triggers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333333"/>
          <w:rtl w:val="0"/>
        </w:rPr>
        <w:t xml:space="preserve">índices </w:t>
      </w:r>
      <w:r w:rsidDel="00000000" w:rsidR="00000000" w:rsidRPr="00000000">
        <w:rPr>
          <w:color w:val="333333"/>
          <w:rtl w:val="0"/>
        </w:rPr>
        <w:t xml:space="preserve">y constraints. XX se deberá reemplazar por el número de dominio asignado dentro de los ejemplos que se trabajen en los módulos.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nomenclatura a seguir es: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Tablas/Vistas</w:t>
      </w:r>
      <w:r w:rsidDel="00000000" w:rsidR="00000000" w:rsidRPr="00000000">
        <w:rPr>
          <w:rtl w:val="0"/>
        </w:rPr>
        <w:t xml:space="preserve">: &lt;EXX&gt;_&lt;nombre_tabla o vista&gt;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Índices: IDX</w:t>
      </w:r>
      <w:r w:rsidDel="00000000" w:rsidR="00000000" w:rsidRPr="00000000">
        <w:rPr>
          <w:rtl w:val="0"/>
        </w:rPr>
        <w:t xml:space="preserve">_&lt;EXX&gt;_&lt;nombre_indice&gt;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_&lt;EXX&gt;_&lt;nnnnn&gt;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donde: nnnn = el nombre de la tabla para la que la constraint se construye (Por ejemplo: PK_EXX_Beneficiario)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Clave Extranjera: </w:t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_&lt;EXX&gt;_&lt;pppp&gt;_&lt;cccc&gt;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donde pppp = el nombre de la tabla referenciante u original, cccc = el nombre de la tabla referenciada.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Unique: </w:t>
      </w:r>
      <w:r w:rsidDel="00000000" w:rsidR="00000000" w:rsidRPr="00000000">
        <w:rPr>
          <w:b w:val="1"/>
          <w:rtl w:val="0"/>
        </w:rPr>
        <w:t xml:space="preserve">UQ</w:t>
      </w:r>
      <w:r w:rsidDel="00000000" w:rsidR="00000000" w:rsidRPr="00000000">
        <w:rPr>
          <w:rtl w:val="0"/>
        </w:rPr>
        <w:t xml:space="preserve">_&lt;EXX&gt;_&lt;nnnn&gt;_&lt;cccc&gt;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donde: nnnn = el nombre de la tabla para la que la constraint se construye, cccc = el nombre del campo interviniente.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Procedimientos, Triggers y Funciones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Triggers: </w:t>
      </w:r>
      <w:r w:rsidDel="00000000" w:rsidR="00000000" w:rsidRPr="00000000">
        <w:rPr>
          <w:b w:val="1"/>
          <w:rtl w:val="0"/>
        </w:rPr>
        <w:t xml:space="preserve">TR_</w:t>
      </w:r>
      <w:r w:rsidDel="00000000" w:rsidR="00000000" w:rsidRPr="00000000">
        <w:rPr>
          <w:rtl w:val="0"/>
        </w:rPr>
        <w:t xml:space="preserve">&lt;EXX&gt;_&lt;tbl&gt;_&lt;nnnn&gt;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siendo &lt;nnnn&gt; el nombre que considere adecuado para el trigger y &lt;tbl&gt; la tabla a la cual está asociada el trigger.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Procedimientos:  </w:t>
      </w:r>
      <w:r w:rsidDel="00000000" w:rsidR="00000000" w:rsidRPr="00000000">
        <w:rPr>
          <w:b w:val="1"/>
          <w:rtl w:val="0"/>
        </w:rPr>
        <w:t xml:space="preserve">PR_</w:t>
      </w:r>
      <w:r w:rsidDel="00000000" w:rsidR="00000000" w:rsidRPr="00000000">
        <w:rPr>
          <w:rtl w:val="0"/>
        </w:rPr>
        <w:t xml:space="preserve">&lt;EXX&gt;_&lt;nnnn&gt;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siendo &lt;nnnn&gt; el nombre que considere adecuado para el procedimiento.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Funciones:  </w:t>
      </w:r>
      <w:r w:rsidDel="00000000" w:rsidR="00000000" w:rsidRPr="00000000">
        <w:rPr>
          <w:b w:val="1"/>
          <w:rtl w:val="0"/>
        </w:rPr>
        <w:t xml:space="preserve">FN_</w:t>
      </w:r>
      <w:r w:rsidDel="00000000" w:rsidR="00000000" w:rsidRPr="00000000">
        <w:rPr>
          <w:rtl w:val="0"/>
        </w:rPr>
        <w:t xml:space="preserve">&lt;EXX&gt;_&lt;nnnn&gt;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siendo &lt;nnnn&gt; el nombre que considere adecuado para la función.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Funciones de triggers:  </w:t>
      </w:r>
      <w:r w:rsidDel="00000000" w:rsidR="00000000" w:rsidRPr="00000000">
        <w:rPr>
          <w:b w:val="1"/>
          <w:rtl w:val="0"/>
        </w:rPr>
        <w:t xml:space="preserve">TRFN_</w:t>
      </w:r>
      <w:r w:rsidDel="00000000" w:rsidR="00000000" w:rsidRPr="00000000">
        <w:rPr>
          <w:rtl w:val="0"/>
        </w:rPr>
        <w:t xml:space="preserve">&lt;EXX&gt;_&lt;nnnn&gt;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siendo &lt;nnnn&gt; el nombre que considere adecuado para la función de trigger.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