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Listar Articulos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30/08/17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Francisco Delgado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siguiente caso de uso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muestra como un usuario lleva a cabo una búsqueda de algún artículo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El actor de este caso de uso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puede ser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un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 o un administrador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 una búsqueda en la barra de navegación.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Hay un actor registrado en la instancia de la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se presenta ninguna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postcondición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Usuario realiza una búsqueda en la barra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 navegación.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muestra una lista de artículos ordenados por relevancia por 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clickea sobre el header de la columna de precio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muestra la lista ordenada por precios en orden ascendiente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clickea nuevamente sobre la columna de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muestra la lista ordenada por precios en orden descendente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571875" cy="3371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Francisco Delgado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